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eastAsia="方正小标宋_GBK" w:cs="方正小标宋_GBK"/>
          <w:sz w:val="44"/>
          <w:szCs w:val="44"/>
        </w:rPr>
      </w:pPr>
    </w:p>
    <w:p>
      <w:pPr>
        <w:autoSpaceDN w:val="0"/>
        <w:spacing w:line="60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中层干部竞聘上岗报名表</w:t>
      </w:r>
    </w:p>
    <w:tbl>
      <w:tblPr>
        <w:tblStyle w:val="3"/>
        <w:tblpPr w:leftFromText="180" w:rightFromText="180" w:vertAnchor="text" w:horzAnchor="page" w:tblpX="1237" w:tblpY="346"/>
        <w:tblOverlap w:val="never"/>
        <w:tblW w:w="97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417"/>
        <w:gridCol w:w="855"/>
        <w:gridCol w:w="1558"/>
        <w:gridCol w:w="1559"/>
        <w:gridCol w:w="1416"/>
        <w:gridCol w:w="851"/>
        <w:gridCol w:w="10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姓名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年月　</w:t>
            </w:r>
          </w:p>
        </w:tc>
        <w:tc>
          <w:tcPr>
            <w:tcW w:w="155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-20"/>
                <w:sz w:val="28"/>
                <w:szCs w:val="28"/>
              </w:rPr>
              <w:t>第一学历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-20"/>
                <w:sz w:val="28"/>
                <w:szCs w:val="28"/>
              </w:rPr>
              <w:t>是否党员</w:t>
            </w:r>
          </w:p>
        </w:tc>
        <w:tc>
          <w:tcPr>
            <w:tcW w:w="10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40" w:lineRule="exact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40" w:lineRule="exact"/>
              <w:textAlignment w:val="auto"/>
              <w:rPr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40" w:lineRule="exact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55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40" w:lineRule="exact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-20"/>
                <w:sz w:val="28"/>
                <w:szCs w:val="28"/>
              </w:rPr>
              <w:t>第二</w:t>
            </w:r>
            <w:bookmarkStart w:id="0" w:name="_GoBack"/>
            <w:bookmarkEnd w:id="0"/>
            <w:r>
              <w:rPr>
                <w:rFonts w:hint="eastAsia" w:ascii="仿宋_GB2312" w:eastAsia="仿宋_GB2312" w:cs="宋体"/>
                <w:spacing w:val="-20"/>
                <w:sz w:val="28"/>
                <w:szCs w:val="28"/>
              </w:rPr>
              <w:t>学历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40" w:lineRule="exact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0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40" w:lineRule="exact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-20"/>
                <w:sz w:val="28"/>
                <w:szCs w:val="28"/>
              </w:rPr>
              <w:t>现单位及职务</w:t>
            </w: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本岗位工作时间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22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是否服从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调配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07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/>
                <w:sz w:val="28"/>
                <w:szCs w:val="28"/>
              </w:rPr>
              <w:t>竞聘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/>
                <w:sz w:val="28"/>
                <w:szCs w:val="28"/>
              </w:rPr>
              <w:t>岗位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-20"/>
                <w:sz w:val="28"/>
                <w:szCs w:val="28"/>
              </w:rPr>
              <w:t>第一志愿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部门   名称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cs="宋体"/>
                <w:spacing w:val="-20"/>
                <w:sz w:val="28"/>
                <w:szCs w:val="28"/>
              </w:rPr>
              <w:t>竞聘</w:t>
            </w:r>
            <w:r>
              <w:rPr>
                <w:rFonts w:hint="eastAsia" w:ascii="仿宋_GB2312" w:eastAsia="仿宋_GB2312" w:cs="宋体"/>
                <w:spacing w:val="-20"/>
                <w:sz w:val="28"/>
                <w:szCs w:val="28"/>
              </w:rPr>
              <w:t>岗位</w:t>
            </w:r>
          </w:p>
        </w:tc>
        <w:tc>
          <w:tcPr>
            <w:tcW w:w="32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0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40" w:lineRule="exact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40" w:lineRule="exact"/>
              <w:textAlignment w:val="auto"/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需求人数</w:t>
            </w:r>
          </w:p>
        </w:tc>
        <w:tc>
          <w:tcPr>
            <w:tcW w:w="64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0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40" w:lineRule="exact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-20"/>
                <w:sz w:val="28"/>
                <w:szCs w:val="28"/>
              </w:rPr>
              <w:t>第二志愿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部门   名称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cs="宋体"/>
                <w:spacing w:val="-20"/>
                <w:sz w:val="28"/>
                <w:szCs w:val="28"/>
              </w:rPr>
              <w:t>竞聘</w:t>
            </w:r>
            <w:r>
              <w:rPr>
                <w:rFonts w:hint="eastAsia" w:ascii="仿宋_GB2312" w:eastAsia="仿宋_GB2312" w:cs="宋体"/>
                <w:spacing w:val="-20"/>
                <w:sz w:val="28"/>
                <w:szCs w:val="28"/>
              </w:rPr>
              <w:t>岗位</w:t>
            </w:r>
          </w:p>
        </w:tc>
        <w:tc>
          <w:tcPr>
            <w:tcW w:w="32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0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40" w:lineRule="exact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40" w:lineRule="exact"/>
              <w:textAlignment w:val="auto"/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需求人数</w:t>
            </w:r>
          </w:p>
        </w:tc>
        <w:tc>
          <w:tcPr>
            <w:tcW w:w="64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/>
                <w:sz w:val="28"/>
                <w:szCs w:val="28"/>
              </w:rPr>
              <w:t>党政办审核意见</w:t>
            </w:r>
          </w:p>
        </w:tc>
        <w:tc>
          <w:tcPr>
            <w:tcW w:w="72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 w:cs="宋体"/>
                <w:sz w:val="28"/>
                <w:szCs w:val="28"/>
              </w:rPr>
            </w:pPr>
          </w:p>
        </w:tc>
      </w:tr>
    </w:tbl>
    <w:p>
      <w:pPr>
        <w:spacing w:line="300" w:lineRule="exact"/>
        <w:rPr>
          <w:rFonts w:asci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eastAsia="黑体" w:cs="黑体"/>
          <w:sz w:val="32"/>
          <w:szCs w:val="32"/>
        </w:rPr>
      </w:pPr>
    </w:p>
    <w:p>
      <w:pPr>
        <w:spacing w:line="560" w:lineRule="exact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eastAsia="方正小标宋_GBK" w:cs="方正小标宋_GBK"/>
          <w:sz w:val="44"/>
          <w:szCs w:val="44"/>
        </w:rPr>
      </w:pPr>
    </w:p>
    <w:p>
      <w:pPr>
        <w:autoSpaceDN w:val="0"/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中层</w:t>
      </w:r>
      <w:r>
        <w:rPr>
          <w:rFonts w:ascii="方正小标宋_GBK" w:eastAsia="方正小标宋_GBK" w:cs="方正小标宋_GBK"/>
          <w:sz w:val="44"/>
          <w:szCs w:val="44"/>
        </w:rPr>
        <w:t>正职</w:t>
      </w:r>
      <w:r>
        <w:rPr>
          <w:rFonts w:hint="eastAsia" w:ascii="方正小标宋_GBK" w:eastAsia="方正小标宋_GBK" w:cs="方正小标宋_GBK"/>
          <w:sz w:val="44"/>
          <w:szCs w:val="44"/>
        </w:rPr>
        <w:t>干部竞聘上岗评分表</w:t>
      </w:r>
    </w:p>
    <w:p>
      <w:pPr>
        <w:spacing w:line="560" w:lineRule="exact"/>
        <w:ind w:firstLine="320" w:firstLineChars="100"/>
        <w:rPr>
          <w:rFonts w:hint="eastAsia"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320" w:firstLineChars="1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姓名：          目前岗位：            竞选岗位：</w:t>
      </w:r>
    </w:p>
    <w:tbl>
      <w:tblPr>
        <w:tblStyle w:val="3"/>
        <w:tblW w:w="955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0"/>
        <w:gridCol w:w="5475"/>
        <w:gridCol w:w="1050"/>
        <w:gridCol w:w="990"/>
        <w:gridCol w:w="240"/>
      </w:tblGrid>
      <w:tr>
        <w:trPr>
          <w:trHeight w:val="640" w:hRule="atLeast"/>
          <w:jc w:val="center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ascii="黑体" w:eastAsia="黑体" w:cs="黑体"/>
                <w:kern w:val="2"/>
              </w:rPr>
            </w:pPr>
            <w:r>
              <w:rPr>
                <w:rFonts w:hint="eastAsia" w:ascii="黑体" w:eastAsia="黑体" w:cs="黑体"/>
                <w:kern w:val="2"/>
              </w:rPr>
              <w:t>评分项目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ascii="黑体" w:eastAsia="黑体" w:cs="黑体"/>
                <w:kern w:val="2"/>
              </w:rPr>
            </w:pPr>
            <w:r>
              <w:rPr>
                <w:rFonts w:hint="eastAsia" w:ascii="黑体" w:eastAsia="黑体" w:cs="黑体"/>
                <w:kern w:val="2"/>
              </w:rPr>
              <w:t>评分标准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ascii="黑体" w:eastAsia="黑体" w:cs="黑体"/>
                <w:kern w:val="2"/>
              </w:rPr>
            </w:pPr>
            <w:r>
              <w:rPr>
                <w:rFonts w:hint="eastAsia" w:ascii="黑体" w:eastAsia="黑体" w:cs="黑体"/>
                <w:kern w:val="2"/>
              </w:rPr>
              <w:t>最高</w:t>
            </w:r>
          </w:p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ascii="黑体" w:eastAsia="黑体" w:cs="黑体"/>
                <w:kern w:val="2"/>
              </w:rPr>
            </w:pPr>
            <w:r>
              <w:rPr>
                <w:rFonts w:hint="eastAsia" w:ascii="黑体" w:eastAsia="黑体" w:cs="黑体"/>
                <w:kern w:val="2"/>
              </w:rPr>
              <w:t>分值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ascii="黑体" w:eastAsia="黑体" w:cs="黑体"/>
                <w:kern w:val="2"/>
              </w:rPr>
            </w:pPr>
            <w:r>
              <w:rPr>
                <w:rFonts w:hint="eastAsia" w:ascii="黑体" w:eastAsia="黑体" w:cs="黑体"/>
                <w:kern w:val="2"/>
              </w:rPr>
              <w:t>实际得分</w:t>
            </w:r>
          </w:p>
        </w:tc>
        <w:tc>
          <w:tcPr>
            <w:tcW w:w="240" w:type="dxa"/>
            <w:vMerge w:val="restart"/>
            <w:tcBorders>
              <w:top w:val="nil"/>
              <w:left w:val="single" w:color="000000" w:sz="4" w:space="0"/>
              <w:right w:val="nil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ind w:firstLine="240" w:firstLineChars="100"/>
              <w:rPr>
                <w:rFonts w:ascii="黑体" w:eastAsia="黑体" w:cs="黑体"/>
                <w:kern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  <w:jc w:val="center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基本情况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学历：本科及以上2分</w:t>
            </w: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eastAsia="仿宋_GB2312" w:cs="仿宋_GB2312"/>
                <w:sz w:val="24"/>
              </w:rPr>
              <w:t>专科1分，专科以下0分；</w:t>
            </w:r>
          </w:p>
          <w:p>
            <w:pPr>
              <w:spacing w:line="300" w:lineRule="exac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职称：高级2分，中级1分，初级0.5分，无0分；</w:t>
            </w:r>
          </w:p>
          <w:p>
            <w:pPr>
              <w:spacing w:line="300" w:lineRule="exact"/>
              <w:rPr>
                <w:rFonts w:hint="eastAsia"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获表彰：省级3分，市级2分,公司级1分，无 0 分（以最高奖项计分，不累计）；</w:t>
            </w:r>
          </w:p>
          <w:p>
            <w:pPr>
              <w:spacing w:line="300" w:lineRule="exact"/>
            </w:pPr>
            <w:r>
              <w:rPr>
                <w:rFonts w:hint="eastAsia" w:ascii="仿宋_GB2312" w:eastAsia="仿宋_GB2312" w:cs="仿宋_GB2312"/>
                <w:sz w:val="24"/>
              </w:rPr>
              <w:t>工作经验：10 年以上3分，8-10年2分，5-8 年1分，5年以下0.5分。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8" w:line="300" w:lineRule="exact"/>
              <w:ind w:left="107"/>
              <w:jc w:val="center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10分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ascii="仿宋_GB2312" w:eastAsia="仿宋_GB2312" w:cs="Times New Roman"/>
                <w:kern w:val="2"/>
              </w:rPr>
            </w:pPr>
          </w:p>
        </w:tc>
        <w:tc>
          <w:tcPr>
            <w:tcW w:w="240" w:type="dxa"/>
            <w:vMerge w:val="continue"/>
            <w:tcBorders>
              <w:left w:val="single" w:color="000000" w:sz="4" w:space="0"/>
              <w:right w:val="nil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hint="eastAsia" w:ascii="仿宋_GB2312" w:eastAsia="仿宋_GB2312" w:cs="仿宋_GB2312"/>
                <w:kern w:val="2"/>
              </w:rPr>
            </w:pPr>
          </w:p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对人数需求</w:t>
            </w:r>
          </w:p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hint="eastAsia" w:eastAsia="仿宋_GB2312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ascii="仿宋_GB2312" w:eastAsia="仿宋_GB2312" w:cs="仿宋_GB2312"/>
                <w:kern w:val="2"/>
              </w:rPr>
            </w:pPr>
          </w:p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保持现有人数得基本分10分，每增加1人减10分，减少1人加10分。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ind w:left="107"/>
              <w:jc w:val="center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ascii="仿宋_GB2312" w:eastAsia="仿宋_GB2312" w:cs="仿宋_GB2312"/>
                <w:kern w:val="2"/>
              </w:rPr>
              <w:t>根据需求人数得分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ascii="仿宋_GB2312" w:eastAsia="仿宋_GB2312" w:cs="Times New Roman"/>
                <w:kern w:val="2"/>
              </w:rPr>
            </w:pPr>
          </w:p>
        </w:tc>
        <w:tc>
          <w:tcPr>
            <w:tcW w:w="240" w:type="dxa"/>
            <w:vMerge w:val="continue"/>
            <w:tcBorders>
              <w:left w:val="single" w:color="000000" w:sz="4" w:space="0"/>
              <w:right w:val="nil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9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ascii="仿宋_GB2312" w:eastAsia="仿宋_GB2312" w:cs="Times New Roman"/>
                <w:kern w:val="2"/>
              </w:rPr>
            </w:pPr>
            <w:r>
              <w:rPr>
                <w:rFonts w:hint="eastAsia" w:ascii="黑体" w:eastAsia="黑体" w:cs="黑体"/>
                <w:kern w:val="2"/>
              </w:rPr>
              <w:t>以上分值由党政办根据实际情况填写</w:t>
            </w:r>
          </w:p>
        </w:tc>
        <w:tc>
          <w:tcPr>
            <w:tcW w:w="240" w:type="dxa"/>
            <w:vMerge w:val="continue"/>
            <w:tcBorders>
              <w:left w:val="single" w:color="000000" w:sz="4" w:space="0"/>
              <w:right w:val="nil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新岗位认知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对竞聘岗位工作要求、工作职责有准确认知，熟悉部门各岗位的工作性质和特点。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ind w:left="120" w:right="110"/>
              <w:jc w:val="center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20分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ascii="仿宋_GB2312" w:eastAsia="仿宋_GB2312" w:cs="Times New Roman"/>
                <w:kern w:val="2"/>
              </w:rPr>
            </w:pPr>
          </w:p>
        </w:tc>
        <w:tc>
          <w:tcPr>
            <w:tcW w:w="240" w:type="dxa"/>
            <w:vMerge w:val="continue"/>
            <w:tcBorders>
              <w:left w:val="single" w:color="000000" w:sz="4" w:space="0"/>
              <w:right w:val="nil"/>
            </w:tcBorders>
            <w:noWrap w:val="0"/>
            <w:vAlign w:val="top"/>
          </w:tcPr>
          <w:p/>
        </w:tc>
      </w:tr>
      <w:tr>
        <w:trPr>
          <w:trHeight w:val="434" w:hRule="atLeast"/>
          <w:jc w:val="center"/>
        </w:trPr>
        <w:tc>
          <w:tcPr>
            <w:tcW w:w="18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hint="eastAsia" w:ascii="仿宋_GB2312" w:eastAsia="仿宋_GB2312" w:cs="仿宋_GB2312"/>
                <w:kern w:val="2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对部门各岗位人员分工有合理的安排。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ind w:right="110" w:firstLine="240" w:firstLineChars="100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10分</w:t>
            </w:r>
          </w:p>
        </w:tc>
        <w:tc>
          <w:tcPr>
            <w:tcW w:w="99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ascii="仿宋_GB2312" w:eastAsia="仿宋_GB2312" w:cs="Times New Roman"/>
                <w:kern w:val="2"/>
              </w:rPr>
            </w:pPr>
          </w:p>
        </w:tc>
        <w:tc>
          <w:tcPr>
            <w:tcW w:w="240" w:type="dxa"/>
            <w:vMerge w:val="continue"/>
            <w:tcBorders>
              <w:left w:val="single" w:color="000000" w:sz="4" w:space="0"/>
              <w:right w:val="nil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新</w:t>
            </w:r>
            <w:r>
              <w:rPr>
                <w:rFonts w:ascii="仿宋_GB2312" w:eastAsia="仿宋_GB2312" w:cs="仿宋_GB2312"/>
                <w:kern w:val="2"/>
              </w:rPr>
              <w:t>岗位</w:t>
            </w:r>
            <w:r>
              <w:rPr>
                <w:rFonts w:hint="eastAsia" w:ascii="仿宋_GB2312" w:eastAsia="仿宋_GB2312" w:cs="仿宋_GB2312"/>
                <w:kern w:val="2"/>
              </w:rPr>
              <w:t>思路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对新</w:t>
            </w:r>
            <w:r>
              <w:rPr>
                <w:rFonts w:ascii="仿宋_GB2312" w:eastAsia="仿宋_GB2312" w:cs="仿宋_GB2312"/>
                <w:kern w:val="2"/>
              </w:rPr>
              <w:t>岗位</w:t>
            </w:r>
            <w:r>
              <w:rPr>
                <w:rFonts w:hint="eastAsia" w:ascii="仿宋_GB2312" w:eastAsia="仿宋_GB2312" w:cs="仿宋_GB2312"/>
                <w:kern w:val="2"/>
              </w:rPr>
              <w:t>有良好的承诺和清晰的工作思路，制定工作目标。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ind w:left="120" w:right="110"/>
              <w:jc w:val="center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20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ascii="仿宋_GB2312" w:eastAsia="仿宋_GB2312" w:cs="Times New Roman"/>
                <w:kern w:val="2"/>
              </w:rPr>
            </w:pPr>
          </w:p>
        </w:tc>
        <w:tc>
          <w:tcPr>
            <w:tcW w:w="240" w:type="dxa"/>
            <w:vMerge w:val="continue"/>
            <w:tcBorders>
              <w:left w:val="single" w:color="000000" w:sz="4" w:space="0"/>
              <w:right w:val="nil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hint="eastAsia" w:ascii="仿宋_GB2312" w:eastAsia="仿宋_GB2312" w:cs="仿宋_GB2312"/>
                <w:kern w:val="2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对制定的工作目标有切实可行的创新举措。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ind w:left="120" w:right="110"/>
              <w:jc w:val="center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15</w:t>
            </w:r>
          </w:p>
        </w:tc>
        <w:tc>
          <w:tcPr>
            <w:tcW w:w="99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ascii="仿宋_GB2312" w:eastAsia="仿宋_GB2312" w:cs="Times New Roman"/>
                <w:kern w:val="2"/>
              </w:rPr>
            </w:pPr>
          </w:p>
        </w:tc>
        <w:tc>
          <w:tcPr>
            <w:tcW w:w="240" w:type="dxa"/>
            <w:vMerge w:val="continue"/>
            <w:tcBorders>
              <w:left w:val="single" w:color="000000" w:sz="4" w:space="0"/>
              <w:right w:val="nil"/>
            </w:tcBorders>
            <w:noWrap w:val="0"/>
            <w:vAlign w:val="top"/>
          </w:tcPr>
          <w:p/>
        </w:tc>
      </w:tr>
      <w:tr>
        <w:trPr>
          <w:trHeight w:val="372" w:hRule="atLeast"/>
          <w:jc w:val="center"/>
        </w:trPr>
        <w:tc>
          <w:tcPr>
            <w:tcW w:w="1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hint="eastAsia" w:ascii="仿宋_GB2312" w:eastAsia="仿宋_GB2312" w:cs="仿宋_GB2312"/>
                <w:kern w:val="2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对部门员工有科学的考核评价方式。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ind w:left="120" w:right="110"/>
              <w:jc w:val="center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15</w:t>
            </w:r>
          </w:p>
        </w:tc>
        <w:tc>
          <w:tcPr>
            <w:tcW w:w="9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ascii="仿宋_GB2312" w:eastAsia="仿宋_GB2312" w:cs="Times New Roman"/>
                <w:kern w:val="2"/>
              </w:rPr>
            </w:pPr>
          </w:p>
        </w:tc>
        <w:tc>
          <w:tcPr>
            <w:tcW w:w="240" w:type="dxa"/>
            <w:vMerge w:val="continue"/>
            <w:tcBorders>
              <w:left w:val="single" w:color="000000" w:sz="4" w:space="0"/>
              <w:right w:val="nil"/>
            </w:tcBorders>
            <w:noWrap w:val="0"/>
            <w:vAlign w:val="top"/>
          </w:tcPr>
          <w:p/>
        </w:tc>
      </w:tr>
      <w:tr>
        <w:trPr>
          <w:trHeight w:val="593" w:hRule="atLeast"/>
          <w:jc w:val="center"/>
        </w:trPr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年度目标增长</w:t>
            </w:r>
          </w:p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（加分项）</w:t>
            </w: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hint="eastAsia" w:ascii="仿宋_GB2312" w:eastAsia="仿宋_GB2312" w:cs="仿宋_GB2312"/>
                <w:kern w:val="2"/>
                <w:lang w:eastAsia="zh-CN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对照2021年目标责任书，子公司经营利润较2021年每增长10%加10分</w:t>
            </w:r>
            <w:r>
              <w:rPr>
                <w:rFonts w:hint="eastAsia" w:ascii="仿宋_GB2312" w:eastAsia="仿宋_GB2312" w:cs="仿宋_GB2312"/>
                <w:kern w:val="2"/>
                <w:lang w:eastAsia="zh-CN"/>
              </w:rPr>
              <w:t>。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ind w:left="107"/>
              <w:jc w:val="center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不限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ascii="仿宋_GB2312" w:eastAsia="仿宋_GB2312" w:cs="Times New Roman"/>
                <w:kern w:val="2"/>
              </w:rPr>
            </w:pPr>
          </w:p>
        </w:tc>
        <w:tc>
          <w:tcPr>
            <w:tcW w:w="240" w:type="dxa"/>
            <w:vMerge w:val="continue"/>
            <w:tcBorders>
              <w:left w:val="single" w:color="000000" w:sz="4" w:space="0"/>
              <w:right w:val="nil"/>
            </w:tcBorders>
            <w:noWrap w:val="0"/>
            <w:vAlign w:val="top"/>
          </w:tcPr>
          <w:p/>
        </w:tc>
      </w:tr>
      <w:tr>
        <w:trPr>
          <w:trHeight w:val="592" w:hRule="atLeast"/>
          <w:jc w:val="center"/>
        </w:trPr>
        <w:tc>
          <w:tcPr>
            <w:tcW w:w="1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hint="eastAsia" w:ascii="仿宋_GB2312" w:eastAsia="仿宋_GB2312" w:cs="仿宋_GB2312"/>
                <w:kern w:val="2"/>
              </w:rPr>
            </w:pPr>
          </w:p>
        </w:tc>
        <w:tc>
          <w:tcPr>
            <w:tcW w:w="5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部门工作获得集体或个人表彰。（区级5分，市级10分）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ind w:left="107"/>
              <w:jc w:val="center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5或10分</w:t>
            </w:r>
          </w:p>
        </w:tc>
        <w:tc>
          <w:tcPr>
            <w:tcW w:w="9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ascii="仿宋_GB2312" w:eastAsia="仿宋_GB2312" w:cs="Times New Roman"/>
                <w:kern w:val="2"/>
              </w:rPr>
            </w:pPr>
          </w:p>
        </w:tc>
        <w:tc>
          <w:tcPr>
            <w:tcW w:w="240" w:type="dxa"/>
            <w:vMerge w:val="continue"/>
            <w:tcBorders>
              <w:left w:val="single" w:color="000000" w:sz="4" w:space="0"/>
              <w:right w:val="nil"/>
            </w:tcBorders>
            <w:noWrap w:val="0"/>
            <w:vAlign w:val="top"/>
          </w:tcPr>
          <w:p/>
        </w:tc>
      </w:tr>
      <w:tr>
        <w:trPr>
          <w:trHeight w:val="453" w:hRule="atLeast"/>
          <w:jc w:val="center"/>
        </w:trPr>
        <w:tc>
          <w:tcPr>
            <w:tcW w:w="8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tabs>
                <w:tab w:val="left" w:pos="719"/>
              </w:tabs>
              <w:kinsoku w:val="0"/>
              <w:overflowPunct w:val="0"/>
              <w:spacing w:before="128" w:line="300" w:lineRule="exact"/>
              <w:ind w:right="1302"/>
              <w:jc w:val="center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合</w:t>
            </w:r>
            <w:r>
              <w:rPr>
                <w:rFonts w:hint="eastAsia" w:ascii="仿宋_GB2312" w:eastAsia="仿宋_GB2312" w:cs="仿宋_GB2312"/>
                <w:kern w:val="2"/>
              </w:rPr>
              <w:tab/>
            </w:r>
            <w:r>
              <w:rPr>
                <w:rFonts w:hint="eastAsia" w:ascii="仿宋_GB2312" w:eastAsia="仿宋_GB2312" w:cs="仿宋_GB2312"/>
                <w:kern w:val="2"/>
              </w:rPr>
              <w:t>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ascii="仿宋_GB2312" w:eastAsia="仿宋_GB2312" w:cs="Times New Roman"/>
                <w:kern w:val="2"/>
              </w:rPr>
            </w:pPr>
          </w:p>
        </w:tc>
        <w:tc>
          <w:tcPr>
            <w:tcW w:w="240" w:type="dxa"/>
            <w:vMerge w:val="continue"/>
            <w:tcBorders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/>
        </w:tc>
      </w:tr>
      <w:tr>
        <w:trPr>
          <w:gridAfter w:val="1"/>
          <w:wAfter w:w="240" w:type="dxa"/>
          <w:trHeight w:val="1265" w:hRule="atLeast"/>
          <w:jc w:val="center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2" w:line="300" w:lineRule="exact"/>
              <w:ind w:firstLine="240" w:firstLineChars="100"/>
              <w:jc w:val="both"/>
              <w:rPr>
                <w:rFonts w:ascii="仿宋_GB2312" w:eastAsia="仿宋_GB2312" w:cs="仿宋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评委签名</w:t>
            </w:r>
          </w:p>
        </w:tc>
        <w:tc>
          <w:tcPr>
            <w:tcW w:w="7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jc w:val="center"/>
              <w:rPr>
                <w:rFonts w:ascii="仿宋_GB2312" w:eastAsia="仿宋_GB2312" w:cs="Times New Roman"/>
                <w:kern w:val="2"/>
              </w:rPr>
            </w:pPr>
          </w:p>
        </w:tc>
      </w:tr>
    </w:tbl>
    <w:p>
      <w:pPr>
        <w:spacing w:line="560" w:lineRule="exact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</w:t>
      </w:r>
      <w:r>
        <w:rPr>
          <w:rFonts w:ascii="黑体" w:eastAsia="黑体" w:cs="黑体"/>
          <w:sz w:val="32"/>
          <w:szCs w:val="32"/>
        </w:rPr>
        <w:t>3</w:t>
      </w:r>
    </w:p>
    <w:p>
      <w:pPr>
        <w:spacing w:line="300" w:lineRule="exact"/>
        <w:rPr>
          <w:rFonts w:ascii="黑体" w:eastAsia="黑体" w:cs="黑体"/>
          <w:sz w:val="32"/>
          <w:szCs w:val="32"/>
        </w:rPr>
      </w:pPr>
    </w:p>
    <w:p>
      <w:pPr>
        <w:autoSpaceDN w:val="0"/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中层</w:t>
      </w:r>
      <w:r>
        <w:rPr>
          <w:rFonts w:ascii="方正小标宋_GBK" w:eastAsia="方正小标宋_GBK" w:cs="方正小标宋_GBK"/>
          <w:sz w:val="44"/>
          <w:szCs w:val="44"/>
        </w:rPr>
        <w:t>副职</w:t>
      </w:r>
      <w:r>
        <w:rPr>
          <w:rFonts w:hint="eastAsia" w:ascii="方正小标宋_GBK" w:eastAsia="方正小标宋_GBK" w:cs="方正小标宋_GBK"/>
          <w:sz w:val="44"/>
          <w:szCs w:val="44"/>
        </w:rPr>
        <w:t>干部竞聘上岗评分表</w:t>
      </w:r>
    </w:p>
    <w:p>
      <w:pPr>
        <w:spacing w:line="560" w:lineRule="exact"/>
        <w:ind w:firstLine="320" w:firstLineChars="100"/>
        <w:rPr>
          <w:rFonts w:hint="eastAsia"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320" w:firstLineChars="1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姓名：       目前岗位：          竞选岗位：</w:t>
      </w:r>
    </w:p>
    <w:tbl>
      <w:tblPr>
        <w:tblStyle w:val="3"/>
        <w:tblpPr w:leftFromText="180" w:rightFromText="180" w:vertAnchor="text" w:horzAnchor="page" w:tblpXSpec="center" w:tblpY="94"/>
        <w:tblOverlap w:val="never"/>
        <w:tblW w:w="92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6"/>
        <w:gridCol w:w="5278"/>
        <w:gridCol w:w="1206"/>
        <w:gridCol w:w="12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jc w:val="center"/>
              <w:rPr>
                <w:rFonts w:ascii="黑体" w:eastAsia="黑体" w:cs="黑体"/>
                <w:kern w:val="2"/>
              </w:rPr>
            </w:pPr>
            <w:r>
              <w:rPr>
                <w:rFonts w:hint="eastAsia" w:ascii="黑体" w:eastAsia="黑体" w:cs="黑体"/>
                <w:kern w:val="2"/>
              </w:rPr>
              <w:t>评分项目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ind w:firstLine="1200" w:firstLineChars="500"/>
              <w:jc w:val="center"/>
              <w:rPr>
                <w:rFonts w:ascii="黑体" w:eastAsia="黑体" w:cs="黑体"/>
                <w:kern w:val="2"/>
              </w:rPr>
            </w:pPr>
            <w:r>
              <w:rPr>
                <w:rFonts w:hint="eastAsia" w:ascii="黑体" w:eastAsia="黑体" w:cs="黑体"/>
                <w:kern w:val="2"/>
              </w:rPr>
              <w:t>评分标准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400" w:lineRule="exact"/>
              <w:jc w:val="center"/>
              <w:rPr>
                <w:rFonts w:ascii="黑体" w:eastAsia="黑体" w:cs="黑体"/>
                <w:kern w:val="2"/>
              </w:rPr>
            </w:pPr>
            <w:r>
              <w:rPr>
                <w:rFonts w:hint="eastAsia" w:ascii="黑体" w:eastAsia="黑体" w:cs="黑体"/>
                <w:kern w:val="2"/>
              </w:rPr>
              <w:t>最高</w:t>
            </w:r>
          </w:p>
          <w:p>
            <w:pPr>
              <w:pStyle w:val="5"/>
              <w:widowControl/>
              <w:kinsoku w:val="0"/>
              <w:overflowPunct w:val="0"/>
              <w:spacing w:line="400" w:lineRule="exact"/>
              <w:jc w:val="center"/>
              <w:rPr>
                <w:rFonts w:ascii="黑体" w:eastAsia="黑体" w:cs="黑体"/>
                <w:kern w:val="2"/>
              </w:rPr>
            </w:pPr>
            <w:r>
              <w:rPr>
                <w:rFonts w:hint="eastAsia" w:ascii="黑体" w:eastAsia="黑体" w:cs="黑体"/>
                <w:kern w:val="2"/>
              </w:rPr>
              <w:t>分值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ind w:firstLine="120" w:firstLineChars="50"/>
              <w:jc w:val="center"/>
              <w:rPr>
                <w:rFonts w:ascii="黑体" w:eastAsia="黑体" w:cs="黑体"/>
                <w:kern w:val="2"/>
              </w:rPr>
            </w:pPr>
            <w:r>
              <w:rPr>
                <w:rFonts w:hint="eastAsia" w:ascii="黑体" w:eastAsia="黑体" w:cs="黑体"/>
                <w:kern w:val="2"/>
              </w:rPr>
              <w:t>实际得分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4" w:hRule="atLeast"/>
          <w:jc w:val="center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jc w:val="center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学历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学历：本科及以上</w:t>
            </w:r>
            <w:r>
              <w:rPr>
                <w:rFonts w:ascii="仿宋_GB2312" w:eastAsia="仿宋_GB2312" w:cs="仿宋_GB2312"/>
                <w:kern w:val="2"/>
              </w:rPr>
              <w:t>2</w:t>
            </w:r>
            <w:r>
              <w:rPr>
                <w:rFonts w:hint="eastAsia" w:ascii="仿宋_GB2312" w:eastAsia="仿宋_GB2312" w:cs="仿宋_GB2312"/>
                <w:kern w:val="2"/>
              </w:rPr>
              <w:t>分,专科</w:t>
            </w:r>
            <w:r>
              <w:rPr>
                <w:rFonts w:ascii="仿宋_GB2312" w:eastAsia="仿宋_GB2312" w:cs="仿宋_GB2312"/>
                <w:kern w:val="2"/>
              </w:rPr>
              <w:t>1</w:t>
            </w:r>
            <w:r>
              <w:rPr>
                <w:rFonts w:hint="eastAsia" w:ascii="仿宋_GB2312" w:eastAsia="仿宋_GB2312" w:cs="仿宋_GB2312"/>
                <w:kern w:val="2"/>
              </w:rPr>
              <w:t>分，专科以下0分；</w:t>
            </w:r>
          </w:p>
          <w:p>
            <w:pPr>
              <w:pStyle w:val="2"/>
              <w:spacing w:line="300" w:lineRule="exact"/>
              <w:ind w:left="0"/>
              <w:rPr>
                <w:rFonts w:hint="eastAsia"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职称：高级2分，中级1分，初级0.5分，无0分；</w:t>
            </w:r>
          </w:p>
          <w:p>
            <w:pPr>
              <w:spacing w:line="300" w:lineRule="exact"/>
              <w:rPr>
                <w:rFonts w:hint="eastAsia"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获表彰：省级3分，市级2分,公司级1分，无 0 分（以最高奖项计分，不累计）；</w:t>
            </w:r>
          </w:p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工作经验：10 年以上3 分，8-10 年2 分，</w:t>
            </w:r>
          </w:p>
          <w:p>
            <w:pPr>
              <w:pStyle w:val="5"/>
              <w:widowControl/>
              <w:kinsoku w:val="0"/>
              <w:overflowPunct w:val="0"/>
              <w:spacing w:line="300" w:lineRule="exact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5-8 年1分，5年以下0.5分。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8" w:line="480" w:lineRule="exact"/>
              <w:ind w:left="107"/>
              <w:jc w:val="center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10分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rPr>
                <w:rFonts w:ascii="仿宋_GB2312" w:eastAsia="仿宋_GB2312" w:cs="Times New Roman"/>
                <w:kern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92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jc w:val="center"/>
              <w:rPr>
                <w:rFonts w:ascii="仿宋_GB2312" w:eastAsia="仿宋_GB2312" w:cs="Times New Roman"/>
                <w:kern w:val="2"/>
              </w:rPr>
            </w:pPr>
            <w:r>
              <w:rPr>
                <w:rFonts w:hint="eastAsia" w:ascii="黑体" w:eastAsia="黑体" w:cs="黑体"/>
                <w:kern w:val="2"/>
              </w:rPr>
              <w:t>以上分值由党政办根据实际情况填写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jc w:val="center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新岗位认知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 xml:space="preserve">对竞聘岗位工作要求、工作职责有准确认知。 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480" w:lineRule="exact"/>
              <w:ind w:left="120" w:right="110"/>
              <w:jc w:val="center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15分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rPr>
                <w:rFonts w:ascii="仿宋_GB2312" w:eastAsia="仿宋_GB2312" w:cs="Times New Roman"/>
                <w:kern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5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jc w:val="center"/>
              <w:rPr>
                <w:rFonts w:hint="eastAsia" w:ascii="仿宋_GB2312" w:eastAsia="仿宋_GB2312" w:cs="仿宋_GB2312"/>
                <w:kern w:val="2"/>
              </w:rPr>
            </w:pP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熟悉部门各岗位的工作性质和特点。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480" w:lineRule="exact"/>
              <w:ind w:left="120" w:right="110"/>
              <w:jc w:val="center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15分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rPr>
                <w:rFonts w:ascii="仿宋_GB2312" w:eastAsia="仿宋_GB2312" w:cs="Times New Roman"/>
                <w:kern w:val="2"/>
              </w:rPr>
            </w:pPr>
          </w:p>
        </w:tc>
      </w:tr>
      <w:tr>
        <w:trPr>
          <w:trHeight w:val="485" w:hRule="atLeast"/>
          <w:jc w:val="center"/>
        </w:trPr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jc w:val="center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新</w:t>
            </w:r>
            <w:r>
              <w:rPr>
                <w:rFonts w:ascii="仿宋_GB2312" w:eastAsia="仿宋_GB2312" w:cs="仿宋_GB2312"/>
                <w:kern w:val="2"/>
              </w:rPr>
              <w:t>岗位</w:t>
            </w:r>
            <w:r>
              <w:rPr>
                <w:rFonts w:hint="eastAsia" w:ascii="仿宋_GB2312" w:eastAsia="仿宋_GB2312" w:cs="仿宋_GB2312"/>
                <w:kern w:val="2"/>
              </w:rPr>
              <w:t>思路</w:t>
            </w:r>
          </w:p>
        </w:tc>
        <w:tc>
          <w:tcPr>
            <w:tcW w:w="5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对新岗位有良好的承诺和清晰的工作思路，制定工作目标。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480" w:lineRule="exact"/>
              <w:ind w:left="120" w:right="110"/>
              <w:jc w:val="center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20分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rPr>
                <w:rFonts w:ascii="仿宋_GB2312" w:eastAsia="仿宋_GB2312" w:cs="Times New Roman"/>
                <w:kern w:val="2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153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jc w:val="center"/>
              <w:rPr>
                <w:rFonts w:hint="eastAsia" w:ascii="仿宋_GB2312" w:eastAsia="仿宋_GB2312" w:cs="仿宋_GB2312"/>
                <w:kern w:val="2"/>
              </w:rPr>
            </w:pPr>
          </w:p>
        </w:tc>
        <w:tc>
          <w:tcPr>
            <w:tcW w:w="5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对制定的工作目标有切实可行的创新举措。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480" w:lineRule="exact"/>
              <w:ind w:left="120" w:right="110"/>
              <w:jc w:val="center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30分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rPr>
                <w:rFonts w:ascii="仿宋_GB2312" w:eastAsia="仿宋_GB2312" w:cs="Times New Roman"/>
                <w:kern w:val="2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153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jc w:val="center"/>
              <w:rPr>
                <w:rFonts w:hint="eastAsia" w:ascii="仿宋_GB2312" w:eastAsia="仿宋_GB2312" w:cs="仿宋_GB2312"/>
                <w:kern w:val="2"/>
              </w:rPr>
            </w:pPr>
          </w:p>
        </w:tc>
        <w:tc>
          <w:tcPr>
            <w:tcW w:w="5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300" w:lineRule="exact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制定的目标和举措能充分体现副职的大局意识、率先意识、服从意识、参谋意识。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126" w:line="480" w:lineRule="exact"/>
              <w:ind w:left="120" w:right="110"/>
              <w:jc w:val="center"/>
              <w:rPr>
                <w:rFonts w:hint="eastAsia"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20分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rPr>
                <w:rFonts w:ascii="仿宋_GB2312" w:eastAsia="仿宋_GB2312" w:cs="Times New Roman"/>
                <w:kern w:val="2"/>
              </w:rPr>
            </w:pPr>
          </w:p>
        </w:tc>
      </w:tr>
      <w:tr>
        <w:trPr>
          <w:trHeight w:val="618" w:hRule="atLeast"/>
          <w:jc w:val="center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tabs>
                <w:tab w:val="left" w:pos="719"/>
              </w:tabs>
              <w:kinsoku w:val="0"/>
              <w:overflowPunct w:val="0"/>
              <w:spacing w:line="480" w:lineRule="exact"/>
              <w:ind w:right="1304"/>
              <w:jc w:val="center"/>
              <w:rPr>
                <w:rFonts w:ascii="仿宋_GB2312" w:eastAsia="仿宋_GB2312" w:cs="仿宋_GB2312"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合</w:t>
            </w:r>
            <w:r>
              <w:rPr>
                <w:rFonts w:hint="eastAsia" w:ascii="仿宋_GB2312" w:eastAsia="仿宋_GB2312" w:cs="仿宋_GB2312"/>
                <w:kern w:val="2"/>
              </w:rPr>
              <w:tab/>
            </w:r>
            <w:r>
              <w:rPr>
                <w:rFonts w:hint="eastAsia" w:ascii="仿宋_GB2312" w:eastAsia="仿宋_GB2312" w:cs="仿宋_GB2312"/>
                <w:kern w:val="2"/>
              </w:rPr>
              <w:t>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line="480" w:lineRule="exact"/>
              <w:jc w:val="center"/>
              <w:rPr>
                <w:rFonts w:ascii="仿宋_GB2312" w:eastAsia="仿宋_GB2312" w:cs="Times New Roman"/>
                <w:kern w:val="2"/>
              </w:rPr>
            </w:pPr>
          </w:p>
        </w:tc>
      </w:tr>
      <w:tr>
        <w:trPr>
          <w:trHeight w:val="2144" w:hRule="atLeast"/>
          <w:jc w:val="center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widowControl/>
              <w:kinsoku w:val="0"/>
              <w:overflowPunct w:val="0"/>
              <w:spacing w:before="2" w:line="480" w:lineRule="exact"/>
              <w:ind w:firstLine="360" w:firstLineChars="150"/>
              <w:jc w:val="both"/>
              <w:rPr>
                <w:rFonts w:ascii="仿宋_GB2312" w:eastAsia="仿宋_GB2312" w:cs="仿宋"/>
                <w:b/>
                <w:bCs/>
                <w:kern w:val="2"/>
              </w:rPr>
            </w:pPr>
            <w:r>
              <w:rPr>
                <w:rFonts w:hint="eastAsia" w:ascii="仿宋_GB2312" w:eastAsia="仿宋_GB2312" w:cs="仿宋_GB2312"/>
                <w:kern w:val="2"/>
              </w:rPr>
              <w:t>评委签名</w:t>
            </w:r>
          </w:p>
        </w:tc>
        <w:tc>
          <w:tcPr>
            <w:tcW w:w="7744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pStyle w:val="5"/>
              <w:widowControl/>
              <w:kinsoku w:val="0"/>
              <w:overflowPunct w:val="0"/>
              <w:spacing w:before="2" w:line="480" w:lineRule="exact"/>
              <w:ind w:firstLine="241" w:firstLineChars="100"/>
              <w:jc w:val="both"/>
              <w:rPr>
                <w:rFonts w:ascii="仿宋_GB2312" w:eastAsia="仿宋_GB2312" w:cs="仿宋_GB2312"/>
                <w:b/>
                <w:bCs/>
                <w:kern w:val="2"/>
              </w:rPr>
            </w:pPr>
          </w:p>
        </w:tc>
      </w:tr>
    </w:tbl>
    <w:p>
      <w:pPr>
        <w:spacing w:line="100" w:lineRule="exact"/>
        <w:rPr>
          <w:rFonts w:hint="eastAsia" w:eastAsia="方正仿宋_GBK"/>
          <w:sz w:val="32"/>
          <w:szCs w:val="32"/>
        </w:rPr>
      </w:pPr>
    </w:p>
    <w:p/>
    <w:sectPr>
      <w:pgSz w:w="11906" w:h="16838"/>
      <w:pgMar w:top="2154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70EF6"/>
    <w:rsid w:val="4507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customStyle="1" w:styleId="5">
    <w:name w:val="Table Paragraph"/>
    <w:next w:val="2"/>
    <w:qFormat/>
    <w:uiPriority w:val="0"/>
    <w:pPr>
      <w:widowControl w:val="0"/>
      <w:autoSpaceDE w:val="0"/>
      <w:autoSpaceDN w:val="0"/>
      <w:adjustRightInd w:val="0"/>
    </w:pPr>
    <w:rPr>
      <w:rFonts w:ascii="Arial Unicode MS" w:hAnsi="Times New Roman" w:eastAsia="Arial Unicode MS" w:cs="Arial Unicode MS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2022-01-24T01:46:00Z</dcterms:created>
  <dc:creator>酷炫Speshow</dc:creator>
  <cp:lastModifiedBy>酷炫Speshow</cp:lastModifiedBy>
  <dcterms:modified xsi:type="dcterms:W3CDTF">2022-01-24T01:47:22Z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9E4CC97D8A564B87857F2B852F123885</vt:lpwstr>
  </property>
</Properties>
</file>