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B7D9C1">
      <w:pPr>
        <w:keepNext w:val="0"/>
        <w:keepLines w:val="0"/>
        <w:pageBreakBefore w:val="0"/>
        <w:widowControl/>
        <w:kinsoku/>
        <w:wordWrap/>
        <w:overflowPunct/>
        <w:topLinePunct w:val="0"/>
        <w:autoSpaceDE/>
        <w:autoSpaceDN/>
        <w:bidi w:val="0"/>
        <w:adjustRightInd/>
        <w:snapToGrid w:val="0"/>
        <w:spacing w:before="120" w:line="560" w:lineRule="exact"/>
        <w:ind w:firstLine="562" w:firstLineChars="200"/>
        <w:jc w:val="center"/>
        <w:textAlignment w:val="auto"/>
        <w:rPr>
          <w:rFonts w:hint="eastAsia" w:ascii="方正小标宋_GBK" w:hAnsi="方正小标宋_GBK" w:eastAsia="方正小标宋_GBK" w:cs="方正小标宋_GBK"/>
          <w:b/>
          <w:bCs/>
          <w:kern w:val="0"/>
          <w:sz w:val="28"/>
          <w:szCs w:val="28"/>
          <w:shd w:val="clear" w:color="auto" w:fill="FFFFFF"/>
          <w:lang w:val="en-US" w:eastAsia="zh-CN"/>
        </w:rPr>
      </w:pPr>
      <w:bookmarkStart w:id="0" w:name="_Toc35393630"/>
      <w:bookmarkStart w:id="1" w:name="_Toc35393799"/>
      <w:bookmarkStart w:id="2" w:name="_Toc28359090"/>
      <w:bookmarkStart w:id="3" w:name="_Toc28359013"/>
      <w:r>
        <w:rPr>
          <w:rFonts w:hint="eastAsia" w:ascii="方正小标宋_GBK" w:hAnsi="方正小标宋_GBK" w:eastAsia="方正小标宋_GBK" w:cs="方正小标宋_GBK"/>
          <w:b/>
          <w:bCs/>
          <w:kern w:val="0"/>
          <w:sz w:val="28"/>
          <w:szCs w:val="28"/>
          <w:shd w:val="clear" w:color="auto" w:fill="FFFFFF"/>
          <w:lang w:val="en-US" w:eastAsia="zh-CN"/>
        </w:rPr>
        <w:t>星光一号食堂（东区）项目</w:t>
      </w:r>
    </w:p>
    <w:p w14:paraId="7A53873F">
      <w:pPr>
        <w:keepNext w:val="0"/>
        <w:keepLines w:val="0"/>
        <w:pageBreakBefore w:val="0"/>
        <w:widowControl/>
        <w:kinsoku/>
        <w:wordWrap/>
        <w:overflowPunct/>
        <w:topLinePunct w:val="0"/>
        <w:autoSpaceDE/>
        <w:autoSpaceDN/>
        <w:bidi w:val="0"/>
        <w:adjustRightInd/>
        <w:snapToGrid w:val="0"/>
        <w:spacing w:before="120" w:line="560" w:lineRule="exact"/>
        <w:ind w:firstLine="440" w:firstLineChars="200"/>
        <w:jc w:val="left"/>
        <w:textAlignment w:val="auto"/>
        <w:rPr>
          <w:rFonts w:ascii="宋体" w:hAnsi="宋体" w:cs="宋体"/>
          <w:kern w:val="0"/>
          <w:sz w:val="22"/>
          <w:szCs w:val="22"/>
          <w:shd w:val="clear" w:color="auto" w:fill="FFFFFF"/>
        </w:rPr>
      </w:pPr>
      <w:r>
        <w:rPr>
          <w:rFonts w:hint="eastAsia" w:ascii="宋体" w:hAnsi="宋体" w:cs="宋体"/>
          <w:kern w:val="0"/>
          <w:sz w:val="22"/>
          <w:szCs w:val="22"/>
          <w:shd w:val="clear" w:color="auto" w:fill="FFFFFF"/>
        </w:rPr>
        <w:t>1.项目名称：</w:t>
      </w:r>
      <w:r>
        <w:rPr>
          <w:rFonts w:hint="eastAsia" w:ascii="宋体" w:hAnsi="宋体" w:cs="宋体"/>
          <w:kern w:val="0"/>
          <w:sz w:val="22"/>
          <w:szCs w:val="22"/>
          <w:shd w:val="clear" w:color="auto" w:fill="FFFFFF"/>
          <w:lang w:eastAsia="zh-CN"/>
        </w:rPr>
        <w:t>星光一号食堂（东区）</w:t>
      </w:r>
      <w:r>
        <w:rPr>
          <w:rFonts w:hint="eastAsia" w:ascii="宋体" w:hAnsi="宋体" w:cs="宋体"/>
          <w:kern w:val="0"/>
          <w:sz w:val="22"/>
          <w:szCs w:val="22"/>
          <w:shd w:val="clear" w:color="auto" w:fill="FFFFFF"/>
          <w:lang w:val="en-US" w:eastAsia="zh-CN"/>
        </w:rPr>
        <w:t>项目运营合作单位征集</w:t>
      </w:r>
    </w:p>
    <w:p w14:paraId="1C6003B5">
      <w:pPr>
        <w:keepNext w:val="0"/>
        <w:keepLines w:val="0"/>
        <w:pageBreakBefore w:val="0"/>
        <w:widowControl/>
        <w:kinsoku/>
        <w:wordWrap/>
        <w:overflowPunct/>
        <w:topLinePunct w:val="0"/>
        <w:autoSpaceDE/>
        <w:autoSpaceDN/>
        <w:bidi w:val="0"/>
        <w:adjustRightInd/>
        <w:snapToGrid w:val="0"/>
        <w:spacing w:before="120" w:line="560" w:lineRule="exact"/>
        <w:ind w:firstLine="440" w:firstLineChars="200"/>
        <w:jc w:val="left"/>
        <w:textAlignment w:val="auto"/>
        <w:rPr>
          <w:rFonts w:hint="default" w:ascii="宋体" w:hAnsi="宋体" w:eastAsia="宋体" w:cs="宋体"/>
          <w:kern w:val="0"/>
          <w:sz w:val="22"/>
          <w:szCs w:val="22"/>
          <w:shd w:val="clear" w:color="auto" w:fill="FFFFFF"/>
          <w:lang w:val="en-US" w:eastAsia="zh-CN"/>
        </w:rPr>
      </w:pPr>
      <w:r>
        <w:rPr>
          <w:rFonts w:hint="eastAsia" w:ascii="宋体" w:hAnsi="宋体" w:cs="宋体"/>
          <w:kern w:val="0"/>
          <w:sz w:val="22"/>
          <w:szCs w:val="22"/>
          <w:shd w:val="clear" w:color="auto" w:fill="FFFFFF"/>
        </w:rPr>
        <w:t>2.</w:t>
      </w:r>
      <w:r>
        <w:rPr>
          <w:rFonts w:hint="eastAsia" w:ascii="宋体" w:hAnsi="宋体" w:cs="宋体"/>
          <w:kern w:val="0"/>
          <w:sz w:val="22"/>
          <w:szCs w:val="22"/>
          <w:shd w:val="clear" w:color="auto" w:fill="FFFFFF"/>
          <w:lang w:val="en-US" w:eastAsia="zh-CN"/>
        </w:rPr>
        <w:t>合作</w:t>
      </w:r>
      <w:r>
        <w:rPr>
          <w:rFonts w:hint="eastAsia" w:ascii="宋体" w:hAnsi="宋体" w:cs="宋体"/>
          <w:kern w:val="0"/>
          <w:sz w:val="22"/>
          <w:szCs w:val="22"/>
          <w:shd w:val="clear" w:color="auto" w:fill="FFFFFF"/>
        </w:rPr>
        <w:t>期限：</w:t>
      </w:r>
      <w:r>
        <w:rPr>
          <w:rFonts w:hint="eastAsia" w:ascii="宋体" w:hAnsi="宋体" w:cs="宋体"/>
          <w:kern w:val="0"/>
          <w:sz w:val="22"/>
          <w:szCs w:val="22"/>
          <w:shd w:val="clear" w:color="auto" w:fill="FFFFFF"/>
          <w:lang w:val="en-US" w:eastAsia="zh-CN"/>
        </w:rPr>
        <w:t>8</w:t>
      </w:r>
      <w:r>
        <w:rPr>
          <w:rFonts w:hint="eastAsia" w:ascii="宋体" w:hAnsi="宋体" w:cs="宋体"/>
          <w:kern w:val="0"/>
          <w:sz w:val="22"/>
          <w:szCs w:val="22"/>
          <w:shd w:val="clear" w:color="auto" w:fill="FFFFFF"/>
        </w:rPr>
        <w:t>年</w:t>
      </w:r>
      <w:r>
        <w:rPr>
          <w:rFonts w:hint="eastAsia" w:ascii="宋体" w:hAnsi="宋体" w:cs="宋体"/>
          <w:kern w:val="0"/>
          <w:sz w:val="22"/>
          <w:szCs w:val="22"/>
          <w:shd w:val="clear" w:color="auto" w:fill="FFFFFF"/>
          <w:lang w:eastAsia="zh-CN"/>
        </w:rPr>
        <w:t>（</w:t>
      </w:r>
      <w:r>
        <w:rPr>
          <w:rFonts w:hint="eastAsia" w:ascii="宋体" w:hAnsi="宋体" w:cs="宋体"/>
          <w:kern w:val="0"/>
          <w:sz w:val="22"/>
          <w:szCs w:val="22"/>
          <w:shd w:val="clear" w:color="auto" w:fill="FFFFFF"/>
          <w:lang w:val="en-US" w:eastAsia="zh-CN"/>
        </w:rPr>
        <w:t>3+2+3），其中前三年为扶植期，第四、第五年为过渡期，后三年为常规经营期。</w:t>
      </w:r>
    </w:p>
    <w:p w14:paraId="35C01F8A">
      <w:pPr>
        <w:keepNext w:val="0"/>
        <w:keepLines w:val="0"/>
        <w:pageBreakBefore w:val="0"/>
        <w:widowControl/>
        <w:kinsoku/>
        <w:wordWrap/>
        <w:overflowPunct/>
        <w:topLinePunct w:val="0"/>
        <w:autoSpaceDE/>
        <w:autoSpaceDN/>
        <w:bidi w:val="0"/>
        <w:adjustRightInd/>
        <w:snapToGrid w:val="0"/>
        <w:spacing w:before="120" w:line="560" w:lineRule="exact"/>
        <w:ind w:firstLine="440" w:firstLineChars="200"/>
        <w:jc w:val="left"/>
        <w:textAlignment w:val="auto"/>
        <w:rPr>
          <w:rFonts w:ascii="宋体" w:hAnsi="宋体" w:cs="宋体"/>
          <w:kern w:val="0"/>
          <w:sz w:val="22"/>
          <w:szCs w:val="22"/>
          <w:shd w:val="clear" w:color="auto" w:fill="FFFFFF"/>
        </w:rPr>
      </w:pPr>
      <w:r>
        <w:rPr>
          <w:rFonts w:hint="eastAsia" w:ascii="宋体" w:hAnsi="宋体" w:cs="宋体"/>
          <w:kern w:val="0"/>
          <w:sz w:val="22"/>
          <w:szCs w:val="22"/>
          <w:shd w:val="clear" w:color="auto" w:fill="FFFFFF"/>
        </w:rPr>
        <w:t>3.</w:t>
      </w:r>
      <w:r>
        <w:rPr>
          <w:rFonts w:hint="eastAsia" w:ascii="宋体" w:hAnsi="宋体" w:cs="宋体"/>
          <w:kern w:val="0"/>
          <w:sz w:val="22"/>
          <w:szCs w:val="22"/>
        </w:rPr>
        <w:t>合作方中标后不得将项目整体转包，须</w:t>
      </w:r>
      <w:bookmarkStart w:id="4" w:name="_GoBack"/>
      <w:bookmarkEnd w:id="4"/>
      <w:r>
        <w:rPr>
          <w:rFonts w:hint="eastAsia" w:ascii="宋体" w:hAnsi="宋体" w:cs="宋体"/>
          <w:kern w:val="0"/>
          <w:sz w:val="22"/>
          <w:szCs w:val="22"/>
        </w:rPr>
        <w:t>自行负责项目的装修、运营管理等工作</w:t>
      </w:r>
      <w:r>
        <w:rPr>
          <w:rFonts w:hint="eastAsia" w:ascii="宋体" w:hAnsi="宋体" w:cs="宋体"/>
          <w:kern w:val="0"/>
          <w:sz w:val="22"/>
          <w:szCs w:val="22"/>
          <w:shd w:val="clear" w:color="auto" w:fill="FFFFFF"/>
        </w:rPr>
        <w:t>。</w:t>
      </w:r>
    </w:p>
    <w:p w14:paraId="12866025">
      <w:pPr>
        <w:keepNext w:val="0"/>
        <w:keepLines w:val="0"/>
        <w:pageBreakBefore w:val="0"/>
        <w:widowControl/>
        <w:kinsoku/>
        <w:wordWrap/>
        <w:overflowPunct/>
        <w:topLinePunct w:val="0"/>
        <w:autoSpaceDE/>
        <w:autoSpaceDN/>
        <w:bidi w:val="0"/>
        <w:adjustRightInd/>
        <w:snapToGrid w:val="0"/>
        <w:spacing w:before="120" w:line="560" w:lineRule="exact"/>
        <w:ind w:firstLine="440" w:firstLineChars="200"/>
        <w:jc w:val="left"/>
        <w:textAlignment w:val="auto"/>
        <w:rPr>
          <w:rFonts w:ascii="宋体" w:hAnsi="宋体" w:cs="宋体"/>
          <w:kern w:val="0"/>
          <w:sz w:val="22"/>
          <w:szCs w:val="22"/>
          <w:shd w:val="clear" w:color="auto" w:fill="FFFFFF"/>
        </w:rPr>
      </w:pPr>
      <w:r>
        <w:rPr>
          <w:rFonts w:hint="eastAsia" w:ascii="宋体" w:hAnsi="宋体" w:cs="宋体"/>
          <w:kern w:val="0"/>
          <w:sz w:val="22"/>
          <w:szCs w:val="22"/>
          <w:shd w:val="clear" w:color="auto" w:fill="FFFFFF"/>
        </w:rPr>
        <w:t>4.本项目</w:t>
      </w:r>
      <w:r>
        <w:rPr>
          <w:rFonts w:hint="eastAsia" w:ascii="宋体" w:hAnsi="宋体" w:cs="宋体"/>
          <w:kern w:val="0"/>
          <w:sz w:val="22"/>
          <w:szCs w:val="22"/>
          <w:shd w:val="clear" w:color="auto" w:fill="FFFFFF"/>
          <w:lang w:val="en-US" w:eastAsia="zh-CN"/>
        </w:rPr>
        <w:t>标的概况</w:t>
      </w:r>
      <w:r>
        <w:rPr>
          <w:rFonts w:hint="eastAsia" w:ascii="宋体" w:hAnsi="宋体" w:cs="宋体"/>
          <w:kern w:val="0"/>
          <w:sz w:val="22"/>
          <w:szCs w:val="22"/>
          <w:shd w:val="clear" w:color="auto" w:fill="FFFFFF"/>
        </w:rPr>
        <w:t>：</w:t>
      </w:r>
    </w:p>
    <w:p w14:paraId="055990ED">
      <w:pPr>
        <w:keepNext w:val="0"/>
        <w:keepLines w:val="0"/>
        <w:pageBreakBefore w:val="0"/>
        <w:widowControl/>
        <w:tabs>
          <w:tab w:val="left" w:pos="312"/>
        </w:tabs>
        <w:kinsoku/>
        <w:wordWrap/>
        <w:overflowPunct/>
        <w:topLinePunct w:val="0"/>
        <w:autoSpaceDE/>
        <w:autoSpaceDN/>
        <w:bidi w:val="0"/>
        <w:adjustRightInd/>
        <w:snapToGrid w:val="0"/>
        <w:spacing w:line="560" w:lineRule="exact"/>
        <w:ind w:left="420"/>
        <w:jc w:val="left"/>
        <w:textAlignment w:val="auto"/>
        <w:rPr>
          <w:rFonts w:hint="eastAsia" w:ascii="宋体" w:hAnsi="宋体" w:cs="宋体"/>
          <w:color w:val="auto"/>
          <w:kern w:val="0"/>
          <w:sz w:val="22"/>
          <w:szCs w:val="22"/>
          <w:lang w:val="en-US" w:eastAsia="zh-CN"/>
        </w:rPr>
      </w:pPr>
      <w:r>
        <w:rPr>
          <w:rFonts w:hint="eastAsia" w:ascii="宋体" w:hAnsi="宋体" w:cs="宋体"/>
          <w:color w:val="auto"/>
          <w:kern w:val="0"/>
          <w:sz w:val="22"/>
          <w:szCs w:val="22"/>
          <w:lang w:val="en-US" w:eastAsia="zh-CN"/>
        </w:rPr>
        <w:t>4.1征集方（产权方）：泰州华康投资有限公司；</w:t>
      </w:r>
    </w:p>
    <w:p w14:paraId="4F3FABB1">
      <w:pPr>
        <w:keepNext w:val="0"/>
        <w:keepLines w:val="0"/>
        <w:pageBreakBefore w:val="0"/>
        <w:widowControl/>
        <w:tabs>
          <w:tab w:val="left" w:pos="312"/>
        </w:tabs>
        <w:kinsoku/>
        <w:wordWrap/>
        <w:overflowPunct/>
        <w:topLinePunct w:val="0"/>
        <w:autoSpaceDE/>
        <w:autoSpaceDN/>
        <w:bidi w:val="0"/>
        <w:adjustRightInd/>
        <w:snapToGrid w:val="0"/>
        <w:spacing w:line="560" w:lineRule="exact"/>
        <w:ind w:left="420"/>
        <w:jc w:val="left"/>
        <w:textAlignment w:val="auto"/>
        <w:rPr>
          <w:rFonts w:hint="eastAsia" w:ascii="宋体" w:hAnsi="宋体" w:cs="宋体"/>
          <w:color w:val="auto"/>
          <w:kern w:val="0"/>
          <w:sz w:val="22"/>
          <w:szCs w:val="22"/>
          <w:lang w:val="en-US" w:eastAsia="zh-CN"/>
        </w:rPr>
      </w:pPr>
      <w:r>
        <w:rPr>
          <w:rFonts w:hint="eastAsia" w:ascii="宋体" w:hAnsi="宋体" w:cs="宋体"/>
          <w:color w:val="auto"/>
          <w:kern w:val="0"/>
          <w:sz w:val="22"/>
          <w:szCs w:val="22"/>
          <w:lang w:val="en-US" w:eastAsia="zh-CN"/>
        </w:rPr>
        <w:t>4.2坐落位置：泰州医药高新区解家舍路北侧、鼓楼路东侧孵化基地4#楼1-3层；</w:t>
      </w:r>
    </w:p>
    <w:p w14:paraId="76D8A595">
      <w:pPr>
        <w:keepNext w:val="0"/>
        <w:keepLines w:val="0"/>
        <w:pageBreakBefore w:val="0"/>
        <w:widowControl/>
        <w:tabs>
          <w:tab w:val="left" w:pos="312"/>
        </w:tabs>
        <w:kinsoku/>
        <w:wordWrap/>
        <w:overflowPunct/>
        <w:topLinePunct w:val="0"/>
        <w:autoSpaceDE/>
        <w:autoSpaceDN/>
        <w:bidi w:val="0"/>
        <w:adjustRightInd/>
        <w:snapToGrid w:val="0"/>
        <w:spacing w:line="560" w:lineRule="exact"/>
        <w:ind w:left="420"/>
        <w:jc w:val="left"/>
        <w:textAlignment w:val="auto"/>
        <w:rPr>
          <w:rFonts w:hint="eastAsia" w:ascii="宋体" w:hAnsi="宋体" w:cs="宋体"/>
          <w:color w:val="auto"/>
          <w:kern w:val="0"/>
          <w:sz w:val="22"/>
          <w:szCs w:val="22"/>
          <w:lang w:val="en-US" w:eastAsia="zh-CN"/>
        </w:rPr>
      </w:pPr>
      <w:r>
        <w:rPr>
          <w:rFonts w:hint="eastAsia" w:ascii="宋体" w:hAnsi="宋体" w:cs="宋体"/>
          <w:color w:val="auto"/>
          <w:kern w:val="0"/>
          <w:sz w:val="22"/>
          <w:szCs w:val="22"/>
          <w:lang w:val="en-US" w:eastAsia="zh-CN"/>
        </w:rPr>
        <w:t>4.3产权证号：苏（2022）泰州市不动产权第0098955号；</w:t>
      </w:r>
    </w:p>
    <w:p w14:paraId="6AE69536">
      <w:pPr>
        <w:keepNext w:val="0"/>
        <w:keepLines w:val="0"/>
        <w:pageBreakBefore w:val="0"/>
        <w:widowControl/>
        <w:tabs>
          <w:tab w:val="left" w:pos="312"/>
        </w:tabs>
        <w:kinsoku/>
        <w:wordWrap/>
        <w:overflowPunct/>
        <w:topLinePunct w:val="0"/>
        <w:autoSpaceDE/>
        <w:autoSpaceDN/>
        <w:bidi w:val="0"/>
        <w:adjustRightInd/>
        <w:snapToGrid w:val="0"/>
        <w:spacing w:line="560" w:lineRule="exact"/>
        <w:ind w:left="420"/>
        <w:jc w:val="left"/>
        <w:textAlignment w:val="auto"/>
        <w:rPr>
          <w:rFonts w:hint="eastAsia" w:ascii="宋体" w:hAnsi="宋体" w:cs="宋体"/>
          <w:color w:val="auto"/>
          <w:kern w:val="0"/>
          <w:sz w:val="22"/>
          <w:szCs w:val="22"/>
          <w:lang w:val="en-US" w:eastAsia="zh-CN"/>
        </w:rPr>
      </w:pPr>
      <w:r>
        <w:rPr>
          <w:rFonts w:hint="eastAsia" w:ascii="宋体" w:hAnsi="宋体" w:cs="宋体"/>
          <w:color w:val="auto"/>
          <w:kern w:val="0"/>
          <w:sz w:val="22"/>
          <w:szCs w:val="22"/>
          <w:lang w:val="en-US" w:eastAsia="zh-CN"/>
        </w:rPr>
        <w:t>4.4建筑物概况及租赁价格：</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131"/>
      </w:tblGrid>
      <w:tr w14:paraId="4EBD7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14:paraId="08E77B86">
            <w:pPr>
              <w:keepNext w:val="0"/>
              <w:keepLines w:val="0"/>
              <w:pageBreakBefore w:val="0"/>
              <w:widowControl/>
              <w:tabs>
                <w:tab w:val="left" w:pos="312"/>
              </w:tabs>
              <w:kinsoku/>
              <w:wordWrap/>
              <w:overflowPunct/>
              <w:topLinePunct w:val="0"/>
              <w:autoSpaceDE/>
              <w:autoSpaceDN/>
              <w:bidi w:val="0"/>
              <w:adjustRightInd/>
              <w:snapToGrid w:val="0"/>
              <w:spacing w:line="560" w:lineRule="exact"/>
              <w:jc w:val="center"/>
              <w:textAlignment w:val="auto"/>
              <w:rPr>
                <w:rFonts w:hint="default" w:ascii="宋体" w:hAnsi="宋体" w:cs="宋体"/>
                <w:color w:val="auto"/>
                <w:kern w:val="0"/>
                <w:sz w:val="22"/>
                <w:szCs w:val="22"/>
                <w:vertAlign w:val="baseline"/>
                <w:lang w:val="en-US" w:eastAsia="zh-CN"/>
              </w:rPr>
            </w:pPr>
            <w:r>
              <w:rPr>
                <w:rFonts w:hint="eastAsia" w:ascii="宋体" w:hAnsi="宋体" w:cs="宋体"/>
                <w:color w:val="auto"/>
                <w:kern w:val="0"/>
                <w:sz w:val="22"/>
                <w:szCs w:val="22"/>
                <w:vertAlign w:val="baseline"/>
                <w:lang w:val="en-US" w:eastAsia="zh-CN"/>
              </w:rPr>
              <w:t>楼层</w:t>
            </w:r>
          </w:p>
        </w:tc>
        <w:tc>
          <w:tcPr>
            <w:tcW w:w="2130" w:type="dxa"/>
            <w:vAlign w:val="center"/>
          </w:tcPr>
          <w:p w14:paraId="49A8BBD2">
            <w:pPr>
              <w:keepNext w:val="0"/>
              <w:keepLines w:val="0"/>
              <w:pageBreakBefore w:val="0"/>
              <w:widowControl/>
              <w:tabs>
                <w:tab w:val="left" w:pos="312"/>
              </w:tabs>
              <w:kinsoku/>
              <w:wordWrap/>
              <w:overflowPunct/>
              <w:topLinePunct w:val="0"/>
              <w:autoSpaceDE/>
              <w:autoSpaceDN/>
              <w:bidi w:val="0"/>
              <w:adjustRightInd/>
              <w:snapToGrid w:val="0"/>
              <w:spacing w:line="560" w:lineRule="exact"/>
              <w:jc w:val="center"/>
              <w:textAlignment w:val="auto"/>
              <w:rPr>
                <w:rFonts w:hint="default" w:ascii="宋体" w:hAnsi="宋体" w:cs="宋体"/>
                <w:color w:val="auto"/>
                <w:kern w:val="0"/>
                <w:sz w:val="22"/>
                <w:szCs w:val="22"/>
                <w:vertAlign w:val="baseline"/>
                <w:lang w:val="en-US" w:eastAsia="zh-CN"/>
              </w:rPr>
            </w:pPr>
            <w:r>
              <w:rPr>
                <w:rFonts w:hint="eastAsia" w:ascii="宋体" w:hAnsi="宋体" w:cs="宋体"/>
                <w:color w:val="auto"/>
                <w:kern w:val="0"/>
                <w:sz w:val="22"/>
                <w:szCs w:val="22"/>
                <w:vertAlign w:val="baseline"/>
                <w:lang w:val="en-US" w:eastAsia="zh-CN"/>
              </w:rPr>
              <w:t>出租面积（m²）</w:t>
            </w:r>
          </w:p>
        </w:tc>
        <w:tc>
          <w:tcPr>
            <w:tcW w:w="2131" w:type="dxa"/>
            <w:vAlign w:val="center"/>
          </w:tcPr>
          <w:p w14:paraId="247379C6">
            <w:pPr>
              <w:keepNext w:val="0"/>
              <w:keepLines w:val="0"/>
              <w:pageBreakBefore w:val="0"/>
              <w:widowControl/>
              <w:tabs>
                <w:tab w:val="left" w:pos="312"/>
              </w:tabs>
              <w:kinsoku/>
              <w:wordWrap/>
              <w:overflowPunct/>
              <w:topLinePunct w:val="0"/>
              <w:autoSpaceDE/>
              <w:autoSpaceDN/>
              <w:bidi w:val="0"/>
              <w:adjustRightInd/>
              <w:snapToGrid w:val="0"/>
              <w:spacing w:line="560" w:lineRule="exact"/>
              <w:jc w:val="center"/>
              <w:textAlignment w:val="auto"/>
              <w:rPr>
                <w:rFonts w:hint="default" w:ascii="宋体" w:hAnsi="宋体" w:cs="宋体"/>
                <w:color w:val="auto"/>
                <w:kern w:val="0"/>
                <w:sz w:val="22"/>
                <w:szCs w:val="22"/>
                <w:vertAlign w:val="baseline"/>
                <w:lang w:val="en-US" w:eastAsia="zh-CN"/>
              </w:rPr>
            </w:pPr>
            <w:r>
              <w:rPr>
                <w:rFonts w:hint="eastAsia" w:ascii="宋体" w:hAnsi="宋体" w:cs="宋体"/>
                <w:color w:val="auto"/>
                <w:kern w:val="0"/>
                <w:sz w:val="22"/>
                <w:szCs w:val="22"/>
                <w:vertAlign w:val="baseline"/>
                <w:lang w:val="en-US" w:eastAsia="zh-CN"/>
              </w:rPr>
              <w:t>租金（元/年）</w:t>
            </w:r>
          </w:p>
        </w:tc>
        <w:tc>
          <w:tcPr>
            <w:tcW w:w="2131" w:type="dxa"/>
            <w:vAlign w:val="center"/>
          </w:tcPr>
          <w:p w14:paraId="4F8772B0">
            <w:pPr>
              <w:keepNext w:val="0"/>
              <w:keepLines w:val="0"/>
              <w:pageBreakBefore w:val="0"/>
              <w:widowControl/>
              <w:tabs>
                <w:tab w:val="left" w:pos="312"/>
              </w:tabs>
              <w:kinsoku/>
              <w:wordWrap/>
              <w:overflowPunct/>
              <w:topLinePunct w:val="0"/>
              <w:autoSpaceDE/>
              <w:autoSpaceDN/>
              <w:bidi w:val="0"/>
              <w:adjustRightInd/>
              <w:snapToGrid w:val="0"/>
              <w:spacing w:line="560" w:lineRule="exact"/>
              <w:jc w:val="center"/>
              <w:textAlignment w:val="auto"/>
              <w:rPr>
                <w:rFonts w:hint="default" w:ascii="宋体" w:hAnsi="宋体" w:cs="宋体"/>
                <w:color w:val="auto"/>
                <w:kern w:val="0"/>
                <w:sz w:val="22"/>
                <w:szCs w:val="22"/>
                <w:vertAlign w:val="baseline"/>
                <w:lang w:val="en-US" w:eastAsia="zh-CN"/>
              </w:rPr>
            </w:pPr>
            <w:r>
              <w:rPr>
                <w:rFonts w:hint="eastAsia" w:ascii="宋体" w:hAnsi="宋体" w:cs="宋体"/>
                <w:color w:val="auto"/>
                <w:kern w:val="0"/>
                <w:sz w:val="22"/>
                <w:szCs w:val="22"/>
                <w:vertAlign w:val="baseline"/>
                <w:lang w:val="en-US" w:eastAsia="zh-CN"/>
              </w:rPr>
              <w:t>备注</w:t>
            </w:r>
          </w:p>
        </w:tc>
      </w:tr>
      <w:tr w14:paraId="4F37AC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14:paraId="59767AA1">
            <w:pPr>
              <w:keepNext w:val="0"/>
              <w:keepLines w:val="0"/>
              <w:pageBreakBefore w:val="0"/>
              <w:widowControl/>
              <w:tabs>
                <w:tab w:val="left" w:pos="312"/>
              </w:tabs>
              <w:kinsoku/>
              <w:wordWrap/>
              <w:overflowPunct/>
              <w:topLinePunct w:val="0"/>
              <w:autoSpaceDE/>
              <w:autoSpaceDN/>
              <w:bidi w:val="0"/>
              <w:adjustRightInd/>
              <w:snapToGrid w:val="0"/>
              <w:spacing w:line="560" w:lineRule="exact"/>
              <w:jc w:val="center"/>
              <w:textAlignment w:val="auto"/>
              <w:rPr>
                <w:rFonts w:hint="default" w:ascii="宋体" w:hAnsi="宋体" w:cs="宋体"/>
                <w:color w:val="auto"/>
                <w:kern w:val="0"/>
                <w:sz w:val="22"/>
                <w:szCs w:val="22"/>
                <w:vertAlign w:val="baseline"/>
                <w:lang w:val="en-US" w:eastAsia="zh-CN"/>
              </w:rPr>
            </w:pPr>
            <w:r>
              <w:rPr>
                <w:rFonts w:hint="eastAsia" w:ascii="宋体" w:hAnsi="宋体" w:cs="宋体"/>
                <w:color w:val="auto"/>
                <w:kern w:val="0"/>
                <w:sz w:val="22"/>
                <w:szCs w:val="22"/>
                <w:vertAlign w:val="baseline"/>
                <w:lang w:val="en-US" w:eastAsia="zh-CN"/>
              </w:rPr>
              <w:t>1层</w:t>
            </w:r>
          </w:p>
        </w:tc>
        <w:tc>
          <w:tcPr>
            <w:tcW w:w="2130" w:type="dxa"/>
            <w:vAlign w:val="center"/>
          </w:tcPr>
          <w:p w14:paraId="10791036">
            <w:pPr>
              <w:keepNext w:val="0"/>
              <w:keepLines w:val="0"/>
              <w:pageBreakBefore w:val="0"/>
              <w:widowControl/>
              <w:tabs>
                <w:tab w:val="left" w:pos="312"/>
              </w:tabs>
              <w:kinsoku/>
              <w:wordWrap/>
              <w:overflowPunct/>
              <w:topLinePunct w:val="0"/>
              <w:autoSpaceDE/>
              <w:autoSpaceDN/>
              <w:bidi w:val="0"/>
              <w:adjustRightInd/>
              <w:snapToGrid w:val="0"/>
              <w:spacing w:line="560" w:lineRule="exact"/>
              <w:jc w:val="center"/>
              <w:textAlignment w:val="auto"/>
              <w:rPr>
                <w:rFonts w:hint="default" w:ascii="宋体" w:hAnsi="宋体" w:cs="宋体"/>
                <w:color w:val="auto"/>
                <w:kern w:val="0"/>
                <w:sz w:val="22"/>
                <w:szCs w:val="22"/>
                <w:vertAlign w:val="baseline"/>
                <w:lang w:val="en-US" w:eastAsia="zh-CN"/>
              </w:rPr>
            </w:pPr>
            <w:r>
              <w:rPr>
                <w:rFonts w:hint="eastAsia" w:ascii="宋体" w:hAnsi="宋体" w:cs="宋体"/>
                <w:color w:val="auto"/>
                <w:kern w:val="0"/>
                <w:sz w:val="22"/>
                <w:szCs w:val="22"/>
                <w:vertAlign w:val="baseline"/>
                <w:lang w:val="en-US" w:eastAsia="zh-CN"/>
              </w:rPr>
              <w:t>999.27</w:t>
            </w:r>
          </w:p>
        </w:tc>
        <w:tc>
          <w:tcPr>
            <w:tcW w:w="2131" w:type="dxa"/>
            <w:vAlign w:val="center"/>
          </w:tcPr>
          <w:p w14:paraId="088DAA11">
            <w:pPr>
              <w:keepNext w:val="0"/>
              <w:keepLines w:val="0"/>
              <w:pageBreakBefore w:val="0"/>
              <w:widowControl/>
              <w:tabs>
                <w:tab w:val="left" w:pos="312"/>
              </w:tabs>
              <w:kinsoku/>
              <w:wordWrap/>
              <w:overflowPunct/>
              <w:topLinePunct w:val="0"/>
              <w:autoSpaceDE/>
              <w:autoSpaceDN/>
              <w:bidi w:val="0"/>
              <w:adjustRightInd/>
              <w:snapToGrid w:val="0"/>
              <w:spacing w:line="560" w:lineRule="exact"/>
              <w:jc w:val="center"/>
              <w:textAlignment w:val="auto"/>
              <w:rPr>
                <w:rFonts w:hint="default" w:ascii="宋体" w:hAnsi="宋体" w:cs="宋体"/>
                <w:color w:val="auto"/>
                <w:kern w:val="0"/>
                <w:sz w:val="22"/>
                <w:szCs w:val="22"/>
                <w:vertAlign w:val="baseline"/>
                <w:lang w:val="en-US" w:eastAsia="zh-CN"/>
              </w:rPr>
            </w:pPr>
            <w:r>
              <w:rPr>
                <w:rFonts w:hint="eastAsia" w:ascii="宋体" w:hAnsi="宋体" w:cs="宋体"/>
                <w:color w:val="auto"/>
                <w:kern w:val="0"/>
                <w:sz w:val="22"/>
                <w:szCs w:val="22"/>
                <w:vertAlign w:val="baseline"/>
                <w:lang w:val="en-US" w:eastAsia="zh-CN"/>
              </w:rPr>
              <w:t>161881.74</w:t>
            </w:r>
          </w:p>
        </w:tc>
        <w:tc>
          <w:tcPr>
            <w:tcW w:w="2131" w:type="dxa"/>
            <w:vAlign w:val="center"/>
          </w:tcPr>
          <w:p w14:paraId="320E5939">
            <w:pPr>
              <w:keepNext w:val="0"/>
              <w:keepLines w:val="0"/>
              <w:pageBreakBefore w:val="0"/>
              <w:widowControl/>
              <w:tabs>
                <w:tab w:val="left" w:pos="312"/>
              </w:tabs>
              <w:kinsoku/>
              <w:wordWrap/>
              <w:overflowPunct/>
              <w:topLinePunct w:val="0"/>
              <w:autoSpaceDE/>
              <w:autoSpaceDN/>
              <w:bidi w:val="0"/>
              <w:adjustRightInd/>
              <w:snapToGrid w:val="0"/>
              <w:spacing w:line="560" w:lineRule="exact"/>
              <w:jc w:val="center"/>
              <w:textAlignment w:val="auto"/>
              <w:rPr>
                <w:rFonts w:hint="default" w:ascii="宋体" w:hAnsi="宋体" w:cs="宋体"/>
                <w:color w:val="auto"/>
                <w:kern w:val="0"/>
                <w:sz w:val="22"/>
                <w:szCs w:val="22"/>
                <w:vertAlign w:val="baseline"/>
                <w:lang w:val="en-US" w:eastAsia="zh-CN"/>
              </w:rPr>
            </w:pPr>
            <w:r>
              <w:rPr>
                <w:rFonts w:hint="eastAsia" w:ascii="宋体" w:hAnsi="宋体" w:cs="宋体"/>
                <w:color w:val="auto"/>
                <w:kern w:val="0"/>
                <w:sz w:val="22"/>
                <w:szCs w:val="22"/>
                <w:vertAlign w:val="baseline"/>
                <w:lang w:val="en-US" w:eastAsia="zh-CN"/>
              </w:rPr>
              <w:t>1层物业用房及消控室已按园区整体进行公摊</w:t>
            </w:r>
          </w:p>
        </w:tc>
      </w:tr>
      <w:tr w14:paraId="6C160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14:paraId="0F0B825C">
            <w:pPr>
              <w:keepNext w:val="0"/>
              <w:keepLines w:val="0"/>
              <w:pageBreakBefore w:val="0"/>
              <w:widowControl/>
              <w:tabs>
                <w:tab w:val="left" w:pos="312"/>
              </w:tabs>
              <w:kinsoku/>
              <w:wordWrap/>
              <w:overflowPunct/>
              <w:topLinePunct w:val="0"/>
              <w:autoSpaceDE/>
              <w:autoSpaceDN/>
              <w:bidi w:val="0"/>
              <w:adjustRightInd/>
              <w:snapToGrid w:val="0"/>
              <w:spacing w:line="560" w:lineRule="exact"/>
              <w:jc w:val="center"/>
              <w:textAlignment w:val="auto"/>
              <w:rPr>
                <w:rFonts w:hint="default" w:ascii="宋体" w:hAnsi="宋体" w:cs="宋体"/>
                <w:color w:val="auto"/>
                <w:kern w:val="0"/>
                <w:sz w:val="22"/>
                <w:szCs w:val="22"/>
                <w:vertAlign w:val="baseline"/>
                <w:lang w:val="en-US" w:eastAsia="zh-CN"/>
              </w:rPr>
            </w:pPr>
            <w:r>
              <w:rPr>
                <w:rFonts w:hint="eastAsia" w:ascii="宋体" w:hAnsi="宋体" w:cs="宋体"/>
                <w:color w:val="auto"/>
                <w:kern w:val="0"/>
                <w:sz w:val="22"/>
                <w:szCs w:val="22"/>
                <w:vertAlign w:val="baseline"/>
                <w:lang w:val="en-US" w:eastAsia="zh-CN"/>
              </w:rPr>
              <w:t>2层</w:t>
            </w:r>
          </w:p>
        </w:tc>
        <w:tc>
          <w:tcPr>
            <w:tcW w:w="2130" w:type="dxa"/>
            <w:vAlign w:val="center"/>
          </w:tcPr>
          <w:p w14:paraId="05131652">
            <w:pPr>
              <w:keepNext w:val="0"/>
              <w:keepLines w:val="0"/>
              <w:pageBreakBefore w:val="0"/>
              <w:widowControl/>
              <w:tabs>
                <w:tab w:val="left" w:pos="312"/>
              </w:tabs>
              <w:kinsoku/>
              <w:wordWrap/>
              <w:overflowPunct/>
              <w:topLinePunct w:val="0"/>
              <w:autoSpaceDE/>
              <w:autoSpaceDN/>
              <w:bidi w:val="0"/>
              <w:adjustRightInd/>
              <w:snapToGrid w:val="0"/>
              <w:spacing w:line="560" w:lineRule="exact"/>
              <w:jc w:val="center"/>
              <w:textAlignment w:val="auto"/>
              <w:rPr>
                <w:rFonts w:hint="default" w:ascii="宋体" w:hAnsi="宋体" w:cs="宋体"/>
                <w:color w:val="auto"/>
                <w:kern w:val="0"/>
                <w:sz w:val="22"/>
                <w:szCs w:val="22"/>
                <w:vertAlign w:val="baseline"/>
                <w:lang w:val="en-US" w:eastAsia="zh-CN"/>
              </w:rPr>
            </w:pPr>
            <w:r>
              <w:rPr>
                <w:rFonts w:hint="eastAsia" w:ascii="宋体" w:hAnsi="宋体" w:cs="宋体"/>
                <w:color w:val="auto"/>
                <w:kern w:val="0"/>
                <w:sz w:val="22"/>
                <w:szCs w:val="22"/>
                <w:vertAlign w:val="baseline"/>
                <w:lang w:val="en-US" w:eastAsia="zh-CN"/>
              </w:rPr>
              <w:t>1180.68</w:t>
            </w:r>
          </w:p>
        </w:tc>
        <w:tc>
          <w:tcPr>
            <w:tcW w:w="2131" w:type="dxa"/>
            <w:vAlign w:val="center"/>
          </w:tcPr>
          <w:p w14:paraId="3645DA32">
            <w:pPr>
              <w:keepNext w:val="0"/>
              <w:keepLines w:val="0"/>
              <w:pageBreakBefore w:val="0"/>
              <w:widowControl/>
              <w:tabs>
                <w:tab w:val="left" w:pos="312"/>
              </w:tabs>
              <w:kinsoku/>
              <w:wordWrap/>
              <w:overflowPunct/>
              <w:topLinePunct w:val="0"/>
              <w:autoSpaceDE/>
              <w:autoSpaceDN/>
              <w:bidi w:val="0"/>
              <w:adjustRightInd/>
              <w:snapToGrid w:val="0"/>
              <w:spacing w:line="560" w:lineRule="exact"/>
              <w:jc w:val="center"/>
              <w:textAlignment w:val="auto"/>
              <w:rPr>
                <w:rFonts w:hint="default" w:ascii="宋体" w:hAnsi="宋体" w:cs="宋体"/>
                <w:color w:val="auto"/>
                <w:kern w:val="0"/>
                <w:sz w:val="22"/>
                <w:szCs w:val="22"/>
                <w:vertAlign w:val="baseline"/>
                <w:lang w:val="en-US" w:eastAsia="zh-CN"/>
              </w:rPr>
            </w:pPr>
            <w:r>
              <w:rPr>
                <w:rFonts w:hint="eastAsia" w:ascii="宋体" w:hAnsi="宋体" w:cs="宋体"/>
                <w:color w:val="auto"/>
                <w:kern w:val="0"/>
                <w:sz w:val="22"/>
                <w:szCs w:val="22"/>
                <w:vertAlign w:val="baseline"/>
                <w:lang w:val="en-US" w:eastAsia="zh-CN"/>
              </w:rPr>
              <w:t>136014.34</w:t>
            </w:r>
          </w:p>
        </w:tc>
        <w:tc>
          <w:tcPr>
            <w:tcW w:w="2131" w:type="dxa"/>
            <w:vAlign w:val="center"/>
          </w:tcPr>
          <w:p w14:paraId="6C495D53">
            <w:pPr>
              <w:keepNext w:val="0"/>
              <w:keepLines w:val="0"/>
              <w:pageBreakBefore w:val="0"/>
              <w:widowControl/>
              <w:tabs>
                <w:tab w:val="left" w:pos="312"/>
              </w:tabs>
              <w:kinsoku/>
              <w:wordWrap/>
              <w:overflowPunct/>
              <w:topLinePunct w:val="0"/>
              <w:autoSpaceDE/>
              <w:autoSpaceDN/>
              <w:bidi w:val="0"/>
              <w:adjustRightInd/>
              <w:snapToGrid w:val="0"/>
              <w:spacing w:line="560" w:lineRule="exact"/>
              <w:jc w:val="center"/>
              <w:textAlignment w:val="auto"/>
              <w:rPr>
                <w:rFonts w:hint="eastAsia" w:ascii="宋体" w:hAnsi="宋体" w:cs="宋体"/>
                <w:color w:val="auto"/>
                <w:kern w:val="0"/>
                <w:sz w:val="22"/>
                <w:szCs w:val="22"/>
                <w:vertAlign w:val="baseline"/>
                <w:lang w:val="en-US" w:eastAsia="zh-CN"/>
              </w:rPr>
            </w:pPr>
          </w:p>
        </w:tc>
      </w:tr>
      <w:tr w14:paraId="2A6BFB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14:paraId="2CDCA88E">
            <w:pPr>
              <w:keepNext w:val="0"/>
              <w:keepLines w:val="0"/>
              <w:pageBreakBefore w:val="0"/>
              <w:widowControl/>
              <w:tabs>
                <w:tab w:val="left" w:pos="312"/>
              </w:tabs>
              <w:kinsoku/>
              <w:wordWrap/>
              <w:overflowPunct/>
              <w:topLinePunct w:val="0"/>
              <w:autoSpaceDE/>
              <w:autoSpaceDN/>
              <w:bidi w:val="0"/>
              <w:adjustRightInd/>
              <w:snapToGrid w:val="0"/>
              <w:spacing w:line="560" w:lineRule="exact"/>
              <w:jc w:val="center"/>
              <w:textAlignment w:val="auto"/>
              <w:rPr>
                <w:rFonts w:hint="default" w:ascii="宋体" w:hAnsi="宋体" w:cs="宋体"/>
                <w:color w:val="auto"/>
                <w:kern w:val="0"/>
                <w:sz w:val="22"/>
                <w:szCs w:val="22"/>
                <w:vertAlign w:val="baseline"/>
                <w:lang w:val="en-US" w:eastAsia="zh-CN"/>
              </w:rPr>
            </w:pPr>
            <w:r>
              <w:rPr>
                <w:rFonts w:hint="eastAsia" w:ascii="宋体" w:hAnsi="宋体" w:cs="宋体"/>
                <w:color w:val="auto"/>
                <w:kern w:val="0"/>
                <w:sz w:val="22"/>
                <w:szCs w:val="22"/>
                <w:vertAlign w:val="baseline"/>
                <w:lang w:val="en-US" w:eastAsia="zh-CN"/>
              </w:rPr>
              <w:t>3层</w:t>
            </w:r>
          </w:p>
        </w:tc>
        <w:tc>
          <w:tcPr>
            <w:tcW w:w="2130" w:type="dxa"/>
            <w:vAlign w:val="center"/>
          </w:tcPr>
          <w:p w14:paraId="7F52C68E">
            <w:pPr>
              <w:keepNext w:val="0"/>
              <w:keepLines w:val="0"/>
              <w:pageBreakBefore w:val="0"/>
              <w:widowControl/>
              <w:tabs>
                <w:tab w:val="left" w:pos="312"/>
              </w:tabs>
              <w:kinsoku/>
              <w:wordWrap/>
              <w:overflowPunct/>
              <w:topLinePunct w:val="0"/>
              <w:autoSpaceDE/>
              <w:autoSpaceDN/>
              <w:bidi w:val="0"/>
              <w:adjustRightInd/>
              <w:snapToGrid w:val="0"/>
              <w:spacing w:line="560" w:lineRule="exact"/>
              <w:jc w:val="center"/>
              <w:textAlignment w:val="auto"/>
              <w:rPr>
                <w:rFonts w:hint="default" w:ascii="宋体" w:hAnsi="宋体" w:cs="宋体"/>
                <w:color w:val="auto"/>
                <w:kern w:val="0"/>
                <w:sz w:val="22"/>
                <w:szCs w:val="22"/>
                <w:vertAlign w:val="baseline"/>
                <w:lang w:val="en-US" w:eastAsia="zh-CN"/>
              </w:rPr>
            </w:pPr>
            <w:r>
              <w:rPr>
                <w:rFonts w:hint="eastAsia" w:ascii="宋体" w:hAnsi="宋体" w:cs="宋体"/>
                <w:color w:val="auto"/>
                <w:kern w:val="0"/>
                <w:sz w:val="22"/>
                <w:szCs w:val="22"/>
                <w:vertAlign w:val="baseline"/>
                <w:lang w:val="en-US" w:eastAsia="zh-CN"/>
              </w:rPr>
              <w:t>1180.68</w:t>
            </w:r>
          </w:p>
        </w:tc>
        <w:tc>
          <w:tcPr>
            <w:tcW w:w="2131" w:type="dxa"/>
            <w:vAlign w:val="center"/>
          </w:tcPr>
          <w:p w14:paraId="7633431B">
            <w:pPr>
              <w:keepNext w:val="0"/>
              <w:keepLines w:val="0"/>
              <w:pageBreakBefore w:val="0"/>
              <w:widowControl/>
              <w:tabs>
                <w:tab w:val="left" w:pos="312"/>
              </w:tabs>
              <w:kinsoku/>
              <w:wordWrap/>
              <w:overflowPunct/>
              <w:topLinePunct w:val="0"/>
              <w:autoSpaceDE/>
              <w:autoSpaceDN/>
              <w:bidi w:val="0"/>
              <w:adjustRightInd/>
              <w:snapToGrid w:val="0"/>
              <w:spacing w:line="560" w:lineRule="exact"/>
              <w:jc w:val="center"/>
              <w:textAlignment w:val="auto"/>
              <w:rPr>
                <w:rFonts w:hint="default" w:ascii="宋体" w:hAnsi="宋体" w:cs="宋体"/>
                <w:color w:val="auto"/>
                <w:kern w:val="0"/>
                <w:sz w:val="22"/>
                <w:szCs w:val="22"/>
                <w:vertAlign w:val="baseline"/>
                <w:lang w:val="en-US" w:eastAsia="zh-CN"/>
              </w:rPr>
            </w:pPr>
            <w:r>
              <w:rPr>
                <w:rFonts w:hint="eastAsia" w:ascii="宋体" w:hAnsi="宋体" w:cs="宋体"/>
                <w:color w:val="auto"/>
                <w:kern w:val="0"/>
                <w:sz w:val="22"/>
                <w:szCs w:val="22"/>
                <w:vertAlign w:val="baseline"/>
                <w:lang w:val="en-US" w:eastAsia="zh-CN"/>
              </w:rPr>
              <w:t>119012.54</w:t>
            </w:r>
          </w:p>
        </w:tc>
        <w:tc>
          <w:tcPr>
            <w:tcW w:w="2131" w:type="dxa"/>
            <w:vAlign w:val="center"/>
          </w:tcPr>
          <w:p w14:paraId="7BC72C8A">
            <w:pPr>
              <w:keepNext w:val="0"/>
              <w:keepLines w:val="0"/>
              <w:pageBreakBefore w:val="0"/>
              <w:widowControl/>
              <w:tabs>
                <w:tab w:val="left" w:pos="312"/>
              </w:tabs>
              <w:kinsoku/>
              <w:wordWrap/>
              <w:overflowPunct/>
              <w:topLinePunct w:val="0"/>
              <w:autoSpaceDE/>
              <w:autoSpaceDN/>
              <w:bidi w:val="0"/>
              <w:adjustRightInd/>
              <w:snapToGrid w:val="0"/>
              <w:spacing w:line="560" w:lineRule="exact"/>
              <w:jc w:val="center"/>
              <w:textAlignment w:val="auto"/>
              <w:rPr>
                <w:rFonts w:hint="eastAsia" w:ascii="宋体" w:hAnsi="宋体" w:cs="宋体"/>
                <w:color w:val="auto"/>
                <w:kern w:val="0"/>
                <w:sz w:val="22"/>
                <w:szCs w:val="22"/>
                <w:vertAlign w:val="baseline"/>
                <w:lang w:val="en-US" w:eastAsia="zh-CN"/>
              </w:rPr>
            </w:pPr>
          </w:p>
        </w:tc>
      </w:tr>
      <w:tr w14:paraId="081BEC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14:paraId="2BE05122">
            <w:pPr>
              <w:keepNext w:val="0"/>
              <w:keepLines w:val="0"/>
              <w:pageBreakBefore w:val="0"/>
              <w:widowControl/>
              <w:tabs>
                <w:tab w:val="left" w:pos="312"/>
              </w:tabs>
              <w:kinsoku/>
              <w:wordWrap/>
              <w:overflowPunct/>
              <w:topLinePunct w:val="0"/>
              <w:autoSpaceDE/>
              <w:autoSpaceDN/>
              <w:bidi w:val="0"/>
              <w:adjustRightInd/>
              <w:snapToGrid w:val="0"/>
              <w:spacing w:line="560" w:lineRule="exact"/>
              <w:jc w:val="center"/>
              <w:textAlignment w:val="auto"/>
              <w:rPr>
                <w:rFonts w:hint="default" w:ascii="宋体" w:hAnsi="宋体" w:cs="宋体"/>
                <w:color w:val="auto"/>
                <w:kern w:val="0"/>
                <w:sz w:val="22"/>
                <w:szCs w:val="22"/>
                <w:vertAlign w:val="baseline"/>
                <w:lang w:val="en-US" w:eastAsia="zh-CN"/>
              </w:rPr>
            </w:pPr>
            <w:r>
              <w:rPr>
                <w:rFonts w:hint="eastAsia" w:ascii="宋体" w:hAnsi="宋体" w:cs="宋体"/>
                <w:color w:val="auto"/>
                <w:kern w:val="0"/>
                <w:sz w:val="22"/>
                <w:szCs w:val="22"/>
                <w:vertAlign w:val="baseline"/>
                <w:lang w:val="en-US" w:eastAsia="zh-CN"/>
              </w:rPr>
              <w:t>合计</w:t>
            </w:r>
          </w:p>
        </w:tc>
        <w:tc>
          <w:tcPr>
            <w:tcW w:w="2130" w:type="dxa"/>
            <w:vAlign w:val="center"/>
          </w:tcPr>
          <w:p w14:paraId="5D52BFC0">
            <w:pPr>
              <w:keepNext w:val="0"/>
              <w:keepLines w:val="0"/>
              <w:pageBreakBefore w:val="0"/>
              <w:widowControl/>
              <w:tabs>
                <w:tab w:val="left" w:pos="312"/>
              </w:tabs>
              <w:kinsoku/>
              <w:wordWrap/>
              <w:overflowPunct/>
              <w:topLinePunct w:val="0"/>
              <w:autoSpaceDE/>
              <w:autoSpaceDN/>
              <w:bidi w:val="0"/>
              <w:adjustRightInd/>
              <w:snapToGrid w:val="0"/>
              <w:spacing w:line="560" w:lineRule="exact"/>
              <w:jc w:val="center"/>
              <w:textAlignment w:val="auto"/>
              <w:rPr>
                <w:rFonts w:hint="default" w:ascii="宋体" w:hAnsi="宋体" w:cs="宋体"/>
                <w:color w:val="auto"/>
                <w:kern w:val="0"/>
                <w:sz w:val="22"/>
                <w:szCs w:val="22"/>
                <w:vertAlign w:val="baseline"/>
                <w:lang w:val="en-US" w:eastAsia="zh-CN"/>
              </w:rPr>
            </w:pPr>
            <w:r>
              <w:rPr>
                <w:rFonts w:hint="eastAsia" w:ascii="宋体" w:hAnsi="宋体" w:cs="宋体"/>
                <w:color w:val="auto"/>
                <w:kern w:val="0"/>
                <w:sz w:val="22"/>
                <w:szCs w:val="22"/>
                <w:vertAlign w:val="baseline"/>
                <w:lang w:val="en-US" w:eastAsia="zh-CN"/>
              </w:rPr>
              <w:t>3360.63</w:t>
            </w:r>
          </w:p>
        </w:tc>
        <w:tc>
          <w:tcPr>
            <w:tcW w:w="2131" w:type="dxa"/>
            <w:vAlign w:val="center"/>
          </w:tcPr>
          <w:p w14:paraId="67CAB715">
            <w:pPr>
              <w:keepNext w:val="0"/>
              <w:keepLines w:val="0"/>
              <w:pageBreakBefore w:val="0"/>
              <w:widowControl/>
              <w:tabs>
                <w:tab w:val="left" w:pos="312"/>
              </w:tabs>
              <w:kinsoku/>
              <w:wordWrap/>
              <w:overflowPunct/>
              <w:topLinePunct w:val="0"/>
              <w:autoSpaceDE/>
              <w:autoSpaceDN/>
              <w:bidi w:val="0"/>
              <w:adjustRightInd/>
              <w:snapToGrid w:val="0"/>
              <w:spacing w:line="560" w:lineRule="exact"/>
              <w:jc w:val="center"/>
              <w:textAlignment w:val="auto"/>
              <w:rPr>
                <w:rFonts w:hint="default" w:ascii="宋体" w:hAnsi="宋体" w:cs="宋体"/>
                <w:color w:val="auto"/>
                <w:kern w:val="0"/>
                <w:sz w:val="22"/>
                <w:szCs w:val="22"/>
                <w:vertAlign w:val="baseline"/>
                <w:lang w:val="en-US" w:eastAsia="zh-CN"/>
              </w:rPr>
            </w:pPr>
            <w:r>
              <w:rPr>
                <w:rFonts w:hint="eastAsia" w:ascii="宋体" w:hAnsi="宋体" w:cs="宋体"/>
                <w:color w:val="auto"/>
                <w:kern w:val="0"/>
                <w:sz w:val="22"/>
                <w:szCs w:val="22"/>
                <w:vertAlign w:val="baseline"/>
                <w:lang w:val="en-US" w:eastAsia="zh-CN"/>
              </w:rPr>
              <w:t>416908.62</w:t>
            </w:r>
          </w:p>
        </w:tc>
        <w:tc>
          <w:tcPr>
            <w:tcW w:w="2131" w:type="dxa"/>
            <w:vAlign w:val="center"/>
          </w:tcPr>
          <w:p w14:paraId="78068B77">
            <w:pPr>
              <w:keepNext w:val="0"/>
              <w:keepLines w:val="0"/>
              <w:pageBreakBefore w:val="0"/>
              <w:widowControl/>
              <w:tabs>
                <w:tab w:val="left" w:pos="312"/>
              </w:tabs>
              <w:kinsoku/>
              <w:wordWrap/>
              <w:overflowPunct/>
              <w:topLinePunct w:val="0"/>
              <w:autoSpaceDE/>
              <w:autoSpaceDN/>
              <w:bidi w:val="0"/>
              <w:adjustRightInd/>
              <w:snapToGrid w:val="0"/>
              <w:spacing w:line="560" w:lineRule="exact"/>
              <w:jc w:val="center"/>
              <w:textAlignment w:val="auto"/>
              <w:rPr>
                <w:rFonts w:hint="eastAsia" w:ascii="宋体" w:hAnsi="宋体" w:cs="宋体"/>
                <w:color w:val="auto"/>
                <w:kern w:val="0"/>
                <w:sz w:val="22"/>
                <w:szCs w:val="22"/>
                <w:vertAlign w:val="baseline"/>
                <w:lang w:val="en-US" w:eastAsia="zh-CN"/>
              </w:rPr>
            </w:pPr>
          </w:p>
        </w:tc>
      </w:tr>
    </w:tbl>
    <w:p w14:paraId="616AECFF">
      <w:pPr>
        <w:keepNext w:val="0"/>
        <w:keepLines w:val="0"/>
        <w:pageBreakBefore w:val="0"/>
        <w:widowControl/>
        <w:tabs>
          <w:tab w:val="left" w:pos="312"/>
        </w:tabs>
        <w:kinsoku/>
        <w:wordWrap/>
        <w:overflowPunct/>
        <w:topLinePunct w:val="0"/>
        <w:autoSpaceDE/>
        <w:autoSpaceDN/>
        <w:bidi w:val="0"/>
        <w:adjustRightInd/>
        <w:snapToGrid w:val="0"/>
        <w:spacing w:line="560" w:lineRule="exact"/>
        <w:ind w:firstLine="440" w:firstLineChars="200"/>
        <w:jc w:val="left"/>
        <w:textAlignment w:val="auto"/>
        <w:rPr>
          <w:rFonts w:hint="eastAsia" w:ascii="宋体" w:hAnsi="宋体" w:cs="宋体"/>
          <w:color w:val="auto"/>
          <w:kern w:val="0"/>
          <w:sz w:val="22"/>
          <w:szCs w:val="22"/>
          <w:lang w:val="en-US" w:eastAsia="zh-CN"/>
        </w:rPr>
      </w:pPr>
      <w:r>
        <w:rPr>
          <w:rFonts w:hint="eastAsia" w:ascii="宋体" w:hAnsi="宋体" w:cs="宋体"/>
          <w:color w:val="auto"/>
          <w:kern w:val="0"/>
          <w:sz w:val="22"/>
          <w:szCs w:val="22"/>
          <w:lang w:val="en-US" w:eastAsia="zh-CN"/>
        </w:rPr>
        <w:t>建筑物当前状态为毛坯状，室内配备三台电梯，一消验收已通过，燃气已接通至建筑物外侧临近位置。</w:t>
      </w:r>
    </w:p>
    <w:p w14:paraId="7F12ACE6">
      <w:pPr>
        <w:keepNext w:val="0"/>
        <w:keepLines w:val="0"/>
        <w:pageBreakBefore w:val="0"/>
        <w:widowControl/>
        <w:numPr>
          <w:ilvl w:val="0"/>
          <w:numId w:val="0"/>
        </w:numPr>
        <w:tabs>
          <w:tab w:val="left" w:pos="312"/>
        </w:tabs>
        <w:kinsoku/>
        <w:wordWrap/>
        <w:overflowPunct/>
        <w:topLinePunct w:val="0"/>
        <w:autoSpaceDE/>
        <w:autoSpaceDN/>
        <w:bidi w:val="0"/>
        <w:adjustRightInd/>
        <w:snapToGrid w:val="0"/>
        <w:spacing w:line="560" w:lineRule="exact"/>
        <w:jc w:val="left"/>
        <w:textAlignment w:val="auto"/>
        <w:rPr>
          <w:rFonts w:hint="default" w:ascii="宋体" w:hAnsi="宋体" w:cs="宋体"/>
          <w:color w:val="FF0000"/>
          <w:kern w:val="0"/>
          <w:sz w:val="22"/>
          <w:szCs w:val="22"/>
          <w:lang w:val="en-US" w:eastAsia="zh-CN"/>
        </w:rPr>
      </w:pPr>
      <w:r>
        <w:rPr>
          <w:rFonts w:hint="eastAsia" w:ascii="宋体" w:hAnsi="宋体" w:cs="宋体"/>
          <w:color w:val="FF0000"/>
          <w:kern w:val="0"/>
          <w:sz w:val="22"/>
          <w:szCs w:val="22"/>
          <w:lang w:val="en-US" w:eastAsia="zh-CN"/>
        </w:rPr>
        <w:t xml:space="preserve">  </w:t>
      </w:r>
      <w:r>
        <w:rPr>
          <w:rFonts w:hint="eastAsia" w:ascii="宋体" w:hAnsi="宋体" w:cs="宋体"/>
          <w:b/>
          <w:bCs/>
          <w:color w:val="FF0000"/>
          <w:kern w:val="0"/>
          <w:sz w:val="22"/>
          <w:szCs w:val="22"/>
          <w:lang w:val="en-US" w:eastAsia="zh-CN"/>
        </w:rPr>
        <w:t xml:space="preserve"> </w:t>
      </w:r>
      <w:r>
        <w:rPr>
          <w:rFonts w:hint="eastAsia" w:ascii="宋体" w:hAnsi="宋体" w:cs="宋体"/>
          <w:b/>
          <w:bCs/>
          <w:color w:val="auto"/>
          <w:kern w:val="0"/>
          <w:sz w:val="22"/>
          <w:szCs w:val="22"/>
          <w:lang w:val="en-US" w:eastAsia="zh-CN"/>
        </w:rPr>
        <w:t xml:space="preserve"> 5.合作方式：</w:t>
      </w:r>
    </w:p>
    <w:p w14:paraId="06444EBF">
      <w:pPr>
        <w:keepNext w:val="0"/>
        <w:keepLines w:val="0"/>
        <w:pageBreakBefore w:val="0"/>
        <w:widowControl/>
        <w:tabs>
          <w:tab w:val="left" w:pos="312"/>
        </w:tabs>
        <w:kinsoku/>
        <w:wordWrap/>
        <w:overflowPunct/>
        <w:topLinePunct w:val="0"/>
        <w:autoSpaceDE/>
        <w:autoSpaceDN/>
        <w:bidi w:val="0"/>
        <w:adjustRightInd/>
        <w:snapToGrid w:val="0"/>
        <w:spacing w:line="560" w:lineRule="exact"/>
        <w:ind w:firstLine="440" w:firstLineChars="200"/>
        <w:jc w:val="left"/>
        <w:textAlignment w:val="auto"/>
        <w:rPr>
          <w:rFonts w:ascii="宋体" w:hAnsi="宋体" w:cs="宋体"/>
          <w:color w:val="auto"/>
          <w:kern w:val="0"/>
          <w:sz w:val="22"/>
          <w:szCs w:val="22"/>
        </w:rPr>
      </w:pPr>
      <w:r>
        <w:rPr>
          <w:rFonts w:hint="eastAsia" w:ascii="宋体" w:hAnsi="宋体" w:cs="宋体"/>
          <w:color w:val="auto"/>
          <w:kern w:val="0"/>
          <w:sz w:val="22"/>
          <w:szCs w:val="22"/>
        </w:rPr>
        <w:t>5.</w:t>
      </w:r>
      <w:r>
        <w:rPr>
          <w:rFonts w:hint="eastAsia" w:ascii="宋体" w:hAnsi="宋体" w:cs="宋体"/>
          <w:color w:val="auto"/>
          <w:kern w:val="0"/>
          <w:sz w:val="22"/>
          <w:szCs w:val="22"/>
          <w:lang w:val="en-US" w:eastAsia="zh-CN"/>
        </w:rPr>
        <w:t>1征集方</w:t>
      </w:r>
      <w:r>
        <w:rPr>
          <w:rFonts w:hint="eastAsia" w:ascii="宋体" w:hAnsi="宋体" w:cs="宋体"/>
          <w:color w:val="auto"/>
          <w:kern w:val="0"/>
          <w:sz w:val="22"/>
          <w:szCs w:val="22"/>
        </w:rPr>
        <w:t>毛坯现状交付房屋，合作方带资对拟承租区域进行装修并负责后期的运营工作。合作方需承租1-2层从事餐饮、购物等园区配套服务经营，承租后获得3层优先承租权（合作方享有同等</w:t>
      </w:r>
      <w:r>
        <w:rPr>
          <w:rFonts w:hint="eastAsia" w:ascii="宋体" w:hAnsi="宋体" w:cs="宋体"/>
          <w:color w:val="auto"/>
          <w:kern w:val="0"/>
          <w:sz w:val="22"/>
          <w:szCs w:val="22"/>
          <w:lang w:val="en-US" w:eastAsia="zh-CN"/>
        </w:rPr>
        <w:t>条件</w:t>
      </w:r>
      <w:r>
        <w:rPr>
          <w:rFonts w:hint="eastAsia" w:ascii="宋体" w:hAnsi="宋体" w:cs="宋体"/>
          <w:color w:val="auto"/>
          <w:kern w:val="0"/>
          <w:sz w:val="22"/>
          <w:szCs w:val="22"/>
        </w:rPr>
        <w:t>下优先承租的权利，但不得干预产权方对外出租工作）。</w:t>
      </w:r>
    </w:p>
    <w:p w14:paraId="5ADE1539">
      <w:pPr>
        <w:keepNext w:val="0"/>
        <w:keepLines w:val="0"/>
        <w:pageBreakBefore w:val="0"/>
        <w:widowControl/>
        <w:kinsoku/>
        <w:wordWrap/>
        <w:overflowPunct/>
        <w:topLinePunct w:val="0"/>
        <w:autoSpaceDE/>
        <w:autoSpaceDN/>
        <w:bidi w:val="0"/>
        <w:adjustRightInd/>
        <w:snapToGrid w:val="0"/>
        <w:spacing w:line="560" w:lineRule="exact"/>
        <w:ind w:firstLine="440" w:firstLineChars="200"/>
        <w:jc w:val="left"/>
        <w:textAlignment w:val="auto"/>
        <w:rPr>
          <w:rFonts w:hint="default" w:ascii="宋体" w:hAnsi="宋体" w:cs="宋体"/>
          <w:color w:val="auto"/>
          <w:kern w:val="0"/>
          <w:sz w:val="22"/>
          <w:szCs w:val="22"/>
          <w:lang w:val="en-US" w:eastAsia="zh-CN"/>
        </w:rPr>
      </w:pPr>
      <w:r>
        <w:rPr>
          <w:rFonts w:hint="eastAsia" w:ascii="宋体" w:hAnsi="宋体" w:cs="宋体"/>
          <w:color w:val="auto"/>
          <w:kern w:val="0"/>
          <w:sz w:val="22"/>
          <w:szCs w:val="22"/>
        </w:rPr>
        <w:t>5.</w:t>
      </w:r>
      <w:r>
        <w:rPr>
          <w:rFonts w:hint="eastAsia" w:ascii="宋体" w:hAnsi="宋体" w:cs="宋体"/>
          <w:color w:val="auto"/>
          <w:kern w:val="0"/>
          <w:sz w:val="22"/>
          <w:szCs w:val="22"/>
          <w:lang w:val="en-US" w:eastAsia="zh-CN"/>
        </w:rPr>
        <w:t>2</w:t>
      </w:r>
      <w:r>
        <w:rPr>
          <w:rFonts w:hint="eastAsia" w:ascii="宋体" w:hAnsi="宋体" w:cs="宋体"/>
          <w:color w:val="auto"/>
          <w:kern w:val="0"/>
          <w:sz w:val="22"/>
          <w:szCs w:val="22"/>
        </w:rPr>
        <w:t xml:space="preserve"> </w:t>
      </w:r>
      <w:r>
        <w:rPr>
          <w:rFonts w:hint="eastAsia" w:ascii="宋体" w:hAnsi="宋体" w:cs="宋体"/>
          <w:color w:val="auto"/>
          <w:kern w:val="0"/>
          <w:sz w:val="22"/>
          <w:szCs w:val="22"/>
          <w:lang w:val="en-US" w:eastAsia="zh-CN"/>
        </w:rPr>
        <w:t>考虑合作方前期投资较大，难以在短期内实现盈利，故将租赁期限设置为</w:t>
      </w:r>
      <w:r>
        <w:rPr>
          <w:rFonts w:hint="eastAsia" w:ascii="宋体" w:hAnsi="宋体" w:cs="宋体"/>
          <w:b/>
          <w:bCs/>
          <w:color w:val="auto"/>
          <w:kern w:val="0"/>
          <w:sz w:val="22"/>
          <w:szCs w:val="22"/>
          <w:lang w:val="en-US" w:eastAsia="zh-CN"/>
        </w:rPr>
        <w:t>扶植期、过渡期、常规经营期</w:t>
      </w:r>
      <w:r>
        <w:rPr>
          <w:rFonts w:hint="eastAsia" w:ascii="宋体" w:hAnsi="宋体" w:cs="宋体"/>
          <w:color w:val="auto"/>
          <w:kern w:val="0"/>
          <w:sz w:val="22"/>
          <w:szCs w:val="22"/>
          <w:lang w:val="en-US" w:eastAsia="zh-CN"/>
        </w:rPr>
        <w:t>三个阶段。合作方可以自身装修及设施设备的投入的成本冲抵租金。进行冲抵后，</w:t>
      </w:r>
      <w:r>
        <w:rPr>
          <w:rFonts w:hint="eastAsia" w:ascii="宋体" w:hAnsi="宋体" w:cs="宋体"/>
          <w:b/>
          <w:bCs/>
          <w:color w:val="auto"/>
          <w:kern w:val="0"/>
          <w:sz w:val="22"/>
          <w:szCs w:val="22"/>
          <w:lang w:val="en-US" w:eastAsia="zh-CN"/>
        </w:rPr>
        <w:t>扶植期（前三年）</w:t>
      </w:r>
      <w:r>
        <w:rPr>
          <w:rFonts w:hint="eastAsia" w:ascii="宋体" w:hAnsi="宋体" w:cs="宋体"/>
          <w:color w:val="auto"/>
          <w:kern w:val="0"/>
          <w:sz w:val="22"/>
          <w:szCs w:val="22"/>
          <w:lang w:val="en-US" w:eastAsia="zh-CN"/>
        </w:rPr>
        <w:t>免收租金；</w:t>
      </w:r>
      <w:r>
        <w:rPr>
          <w:rFonts w:hint="eastAsia" w:ascii="宋体" w:hAnsi="宋体" w:cs="宋体"/>
          <w:b/>
          <w:bCs/>
          <w:color w:val="auto"/>
          <w:kern w:val="0"/>
          <w:sz w:val="22"/>
          <w:szCs w:val="22"/>
          <w:lang w:val="en-US" w:eastAsia="zh-CN"/>
        </w:rPr>
        <w:t>过渡期(第四、第五年）</w:t>
      </w:r>
      <w:r>
        <w:rPr>
          <w:rFonts w:hint="eastAsia" w:ascii="宋体" w:hAnsi="宋体" w:cs="宋体"/>
          <w:color w:val="auto"/>
          <w:kern w:val="0"/>
          <w:sz w:val="22"/>
          <w:szCs w:val="22"/>
          <w:lang w:val="en-US" w:eastAsia="zh-CN"/>
        </w:rPr>
        <w:t>以利润分成方式收取租金，合作方应向征集方缴纳每年净利润的20%作为租金（以征集方委托的第三方审计单位的审计结果为准，合作方应无条件配合审计工作），若净利润为负则无需缴纳；</w:t>
      </w:r>
      <w:r>
        <w:rPr>
          <w:rFonts w:hint="eastAsia" w:ascii="宋体" w:hAnsi="宋体" w:cs="宋体"/>
          <w:b/>
          <w:bCs/>
          <w:color w:val="auto"/>
          <w:kern w:val="0"/>
          <w:sz w:val="22"/>
          <w:szCs w:val="22"/>
          <w:lang w:val="en-US" w:eastAsia="zh-CN"/>
        </w:rPr>
        <w:t>常规经营期（后三年）</w:t>
      </w:r>
      <w:r>
        <w:rPr>
          <w:rFonts w:hint="eastAsia" w:ascii="宋体" w:hAnsi="宋体" w:cs="宋体"/>
          <w:color w:val="auto"/>
          <w:kern w:val="0"/>
          <w:sz w:val="22"/>
          <w:szCs w:val="22"/>
          <w:lang w:val="en-US" w:eastAsia="zh-CN"/>
        </w:rPr>
        <w:t>以固定租金+利润分成的方式进行租金收取，固定租金为本公告4.4表中租赁价格，利润分成比例为净利润的15%。</w:t>
      </w:r>
    </w:p>
    <w:p w14:paraId="727559B3">
      <w:pPr>
        <w:keepNext w:val="0"/>
        <w:keepLines w:val="0"/>
        <w:pageBreakBefore w:val="0"/>
        <w:kinsoku/>
        <w:wordWrap/>
        <w:overflowPunct/>
        <w:topLinePunct w:val="0"/>
        <w:autoSpaceDE/>
        <w:autoSpaceDN/>
        <w:bidi w:val="0"/>
        <w:adjustRightInd/>
        <w:spacing w:line="560" w:lineRule="exact"/>
        <w:ind w:firstLine="440" w:firstLineChars="200"/>
        <w:textAlignment w:val="auto"/>
        <w:rPr>
          <w:rFonts w:hint="eastAsia" w:ascii="宋体" w:hAnsi="宋体" w:cs="宋体"/>
          <w:b w:val="0"/>
          <w:bCs w:val="0"/>
          <w:color w:val="auto"/>
          <w:kern w:val="0"/>
          <w:sz w:val="22"/>
          <w:szCs w:val="22"/>
          <w:u w:val="none"/>
          <w:lang w:val="en-US" w:eastAsia="zh-CN"/>
        </w:rPr>
      </w:pPr>
      <w:r>
        <w:rPr>
          <w:rFonts w:hint="eastAsia" w:ascii="宋体" w:hAnsi="宋体" w:cs="宋体"/>
          <w:b w:val="0"/>
          <w:bCs w:val="0"/>
          <w:color w:val="auto"/>
          <w:kern w:val="0"/>
          <w:sz w:val="22"/>
          <w:szCs w:val="22"/>
        </w:rPr>
        <w:t>5.</w:t>
      </w:r>
      <w:r>
        <w:rPr>
          <w:rFonts w:hint="eastAsia" w:ascii="宋体" w:hAnsi="宋体" w:cs="宋体"/>
          <w:b w:val="0"/>
          <w:bCs w:val="0"/>
          <w:color w:val="auto"/>
          <w:kern w:val="0"/>
          <w:sz w:val="22"/>
          <w:szCs w:val="22"/>
          <w:lang w:val="en-US" w:eastAsia="zh-CN"/>
        </w:rPr>
        <w:t>3</w:t>
      </w:r>
      <w:r>
        <w:rPr>
          <w:rFonts w:hint="eastAsia" w:ascii="宋体" w:hAnsi="宋体" w:cs="宋体"/>
          <w:b w:val="0"/>
          <w:bCs w:val="0"/>
          <w:color w:val="auto"/>
          <w:kern w:val="0"/>
          <w:sz w:val="22"/>
          <w:szCs w:val="22"/>
        </w:rPr>
        <w:t xml:space="preserve"> </w:t>
      </w:r>
      <w:r>
        <w:rPr>
          <w:rFonts w:hint="eastAsia" w:ascii="宋体" w:hAnsi="宋体" w:cs="宋体"/>
          <w:b w:val="0"/>
          <w:bCs w:val="0"/>
          <w:color w:val="auto"/>
          <w:kern w:val="0"/>
          <w:sz w:val="22"/>
          <w:szCs w:val="22"/>
          <w:lang w:val="en-US" w:eastAsia="zh-CN"/>
        </w:rPr>
        <w:t>装修要求：合作方应以不低于</w:t>
      </w:r>
      <w:r>
        <w:rPr>
          <w:rFonts w:hint="eastAsia" w:ascii="宋体" w:hAnsi="宋体" w:cs="宋体"/>
          <w:b/>
          <w:bCs/>
          <w:color w:val="auto"/>
          <w:kern w:val="0"/>
          <w:sz w:val="22"/>
          <w:szCs w:val="22"/>
          <w:u w:val="single"/>
          <w:lang w:val="en-US" w:eastAsia="zh-CN"/>
        </w:rPr>
        <w:t xml:space="preserve"> 800</w:t>
      </w:r>
      <w:r>
        <w:rPr>
          <w:rFonts w:hint="eastAsia" w:ascii="宋体" w:hAnsi="宋体" w:cs="宋体"/>
          <w:b/>
          <w:bCs/>
          <w:color w:val="auto"/>
          <w:kern w:val="0"/>
          <w:sz w:val="22"/>
          <w:szCs w:val="22"/>
          <w:u w:val="none"/>
          <w:lang w:val="en-US" w:eastAsia="zh-CN"/>
        </w:rPr>
        <w:t>元/m²</w:t>
      </w:r>
      <w:r>
        <w:rPr>
          <w:rFonts w:hint="eastAsia" w:ascii="宋体" w:hAnsi="宋体" w:cs="宋体"/>
          <w:b w:val="0"/>
          <w:bCs w:val="0"/>
          <w:color w:val="auto"/>
          <w:kern w:val="0"/>
          <w:sz w:val="22"/>
          <w:szCs w:val="22"/>
          <w:u w:val="none"/>
          <w:lang w:val="en-US" w:eastAsia="zh-CN"/>
        </w:rPr>
        <w:t>均价对该标的建筑物进行装修（包含设施设备的投入），合作方应提供包括但不限于装修合同、装修发票等资料供征集方进行考核。</w:t>
      </w:r>
    </w:p>
    <w:p w14:paraId="1E53165E">
      <w:pPr>
        <w:keepNext w:val="0"/>
        <w:keepLines w:val="0"/>
        <w:pageBreakBefore w:val="0"/>
        <w:kinsoku/>
        <w:wordWrap/>
        <w:overflowPunct/>
        <w:topLinePunct w:val="0"/>
        <w:autoSpaceDE/>
        <w:autoSpaceDN/>
        <w:bidi w:val="0"/>
        <w:adjustRightInd/>
        <w:spacing w:line="560" w:lineRule="exact"/>
        <w:ind w:firstLine="440" w:firstLineChars="200"/>
        <w:textAlignment w:val="auto"/>
        <w:rPr>
          <w:rFonts w:hint="default" w:ascii="宋体" w:hAnsi="宋体" w:cs="宋体"/>
          <w:b w:val="0"/>
          <w:bCs w:val="0"/>
          <w:color w:val="auto"/>
          <w:kern w:val="0"/>
          <w:sz w:val="22"/>
          <w:szCs w:val="22"/>
          <w:u w:val="none"/>
          <w:lang w:val="en-US" w:eastAsia="zh-CN"/>
        </w:rPr>
      </w:pPr>
      <w:r>
        <w:rPr>
          <w:rFonts w:hint="eastAsia" w:ascii="宋体" w:hAnsi="宋体" w:cs="宋体"/>
          <w:b w:val="0"/>
          <w:bCs w:val="0"/>
          <w:color w:val="auto"/>
          <w:kern w:val="0"/>
          <w:sz w:val="22"/>
          <w:szCs w:val="22"/>
          <w:u w:val="none"/>
          <w:lang w:val="en-US" w:eastAsia="zh-CN"/>
        </w:rPr>
        <w:t>5.4业态规划要求：包括但不限于食堂、购物、休闲、商务接待等功能，合作方应根据自身经营规划，形成书面的商业规划方案，提交征集进行审核。</w:t>
      </w:r>
    </w:p>
    <w:p w14:paraId="42FCD4DA">
      <w:pPr>
        <w:keepNext w:val="0"/>
        <w:keepLines w:val="0"/>
        <w:pageBreakBefore w:val="0"/>
        <w:kinsoku/>
        <w:wordWrap/>
        <w:overflowPunct/>
        <w:topLinePunct w:val="0"/>
        <w:autoSpaceDE/>
        <w:autoSpaceDN/>
        <w:bidi w:val="0"/>
        <w:adjustRightInd/>
        <w:spacing w:line="560" w:lineRule="exact"/>
        <w:ind w:firstLine="440" w:firstLineChars="200"/>
        <w:textAlignment w:val="auto"/>
        <w:rPr>
          <w:rFonts w:hint="default" w:ascii="宋体" w:hAnsi="宋体" w:cs="宋体"/>
          <w:color w:val="auto"/>
          <w:kern w:val="0"/>
          <w:sz w:val="22"/>
          <w:szCs w:val="22"/>
          <w:u w:val="none"/>
          <w:lang w:val="en-US" w:eastAsia="zh-CN"/>
        </w:rPr>
      </w:pPr>
      <w:r>
        <w:rPr>
          <w:rFonts w:hint="eastAsia" w:ascii="宋体" w:hAnsi="宋体" w:cs="宋体"/>
          <w:color w:val="auto"/>
          <w:kern w:val="0"/>
          <w:sz w:val="22"/>
          <w:szCs w:val="22"/>
        </w:rPr>
        <w:t>5.</w:t>
      </w:r>
      <w:r>
        <w:rPr>
          <w:rFonts w:hint="eastAsia" w:ascii="宋体" w:hAnsi="宋体" w:cs="宋体"/>
          <w:color w:val="auto"/>
          <w:kern w:val="0"/>
          <w:sz w:val="22"/>
          <w:szCs w:val="22"/>
          <w:lang w:val="en-US" w:eastAsia="zh-CN"/>
        </w:rPr>
        <w:t>5</w:t>
      </w:r>
      <w:r>
        <w:rPr>
          <w:rFonts w:hint="eastAsia" w:ascii="宋体" w:hAnsi="宋体" w:cs="宋体"/>
          <w:color w:val="auto"/>
          <w:kern w:val="0"/>
          <w:sz w:val="22"/>
          <w:szCs w:val="22"/>
        </w:rPr>
        <w:t xml:space="preserve"> </w:t>
      </w:r>
      <w:r>
        <w:rPr>
          <w:rFonts w:hint="eastAsia" w:ascii="宋体" w:hAnsi="宋体" w:cs="宋体"/>
          <w:color w:val="auto"/>
          <w:kern w:val="0"/>
          <w:sz w:val="22"/>
          <w:szCs w:val="22"/>
          <w:lang w:val="en-US" w:eastAsia="zh-CN"/>
        </w:rPr>
        <w:t>功能实现时间节点要求：合作方应于</w:t>
      </w:r>
      <w:r>
        <w:rPr>
          <w:rFonts w:hint="eastAsia" w:ascii="宋体" w:hAnsi="宋体" w:cs="宋体"/>
          <w:b/>
          <w:bCs/>
          <w:color w:val="auto"/>
          <w:kern w:val="0"/>
          <w:sz w:val="22"/>
          <w:szCs w:val="22"/>
          <w:u w:val="single"/>
          <w:lang w:val="en-US" w:eastAsia="zh-CN"/>
        </w:rPr>
        <w:t>2024年12月31日</w:t>
      </w:r>
      <w:r>
        <w:rPr>
          <w:rFonts w:hint="eastAsia" w:ascii="宋体" w:hAnsi="宋体" w:cs="宋体"/>
          <w:color w:val="auto"/>
          <w:kern w:val="0"/>
          <w:sz w:val="22"/>
          <w:szCs w:val="22"/>
          <w:lang w:val="en-US" w:eastAsia="zh-CN"/>
        </w:rPr>
        <w:t xml:space="preserve">前实现一层功能（须满足园区工作人员基本的用餐及购物需求），应于 </w:t>
      </w:r>
      <w:r>
        <w:rPr>
          <w:rFonts w:hint="eastAsia" w:ascii="宋体" w:hAnsi="宋体" w:cs="宋体"/>
          <w:b/>
          <w:bCs/>
          <w:color w:val="auto"/>
          <w:kern w:val="0"/>
          <w:sz w:val="22"/>
          <w:szCs w:val="22"/>
          <w:u w:val="single"/>
          <w:lang w:val="en-US" w:eastAsia="zh-CN"/>
        </w:rPr>
        <w:t>2025 年4月 30 日</w:t>
      </w:r>
      <w:r>
        <w:rPr>
          <w:rFonts w:hint="eastAsia" w:ascii="宋体" w:hAnsi="宋体" w:cs="宋体"/>
          <w:color w:val="auto"/>
          <w:kern w:val="0"/>
          <w:sz w:val="22"/>
          <w:szCs w:val="22"/>
          <w:lang w:val="en-US" w:eastAsia="zh-CN"/>
        </w:rPr>
        <w:t>前实现二层功能（二层功能由合作方自行规划）</w:t>
      </w:r>
      <w:r>
        <w:rPr>
          <w:rFonts w:hint="eastAsia" w:ascii="宋体" w:hAnsi="宋体" w:cs="宋体"/>
          <w:color w:val="auto"/>
          <w:kern w:val="0"/>
          <w:sz w:val="22"/>
          <w:szCs w:val="22"/>
          <w:u w:val="none"/>
          <w:lang w:val="en-US" w:eastAsia="zh-CN"/>
        </w:rPr>
        <w:t>。</w:t>
      </w:r>
    </w:p>
    <w:p w14:paraId="4A278916">
      <w:pPr>
        <w:keepNext w:val="0"/>
        <w:keepLines w:val="0"/>
        <w:pageBreakBefore w:val="0"/>
        <w:kinsoku/>
        <w:wordWrap/>
        <w:overflowPunct/>
        <w:topLinePunct w:val="0"/>
        <w:autoSpaceDE/>
        <w:autoSpaceDN/>
        <w:bidi w:val="0"/>
        <w:adjustRightInd/>
        <w:spacing w:line="560" w:lineRule="exact"/>
        <w:ind w:firstLine="440" w:firstLineChars="200"/>
        <w:textAlignment w:val="auto"/>
        <w:rPr>
          <w:rFonts w:hint="eastAsia" w:eastAsia="宋体"/>
          <w:color w:val="auto"/>
          <w:sz w:val="22"/>
          <w:szCs w:val="28"/>
          <w:lang w:eastAsia="zh-CN"/>
        </w:rPr>
      </w:pPr>
      <w:r>
        <w:rPr>
          <w:rFonts w:hint="eastAsia" w:ascii="宋体" w:hAnsi="宋体" w:cs="宋体"/>
          <w:color w:val="auto"/>
          <w:kern w:val="0"/>
          <w:sz w:val="22"/>
          <w:szCs w:val="22"/>
        </w:rPr>
        <w:t>5.</w:t>
      </w:r>
      <w:r>
        <w:rPr>
          <w:rFonts w:hint="eastAsia" w:ascii="宋体" w:hAnsi="宋体" w:cs="宋体"/>
          <w:color w:val="auto"/>
          <w:kern w:val="0"/>
          <w:sz w:val="22"/>
          <w:szCs w:val="22"/>
          <w:lang w:val="en-US" w:eastAsia="zh-CN"/>
        </w:rPr>
        <w:t>6 合作方应自行完成燃气入户工作（如需使用），后期如有相关的水、电、燃气、税费等优惠由合作方享受</w:t>
      </w:r>
      <w:r>
        <w:rPr>
          <w:rFonts w:hint="eastAsia"/>
          <w:color w:val="auto"/>
          <w:sz w:val="22"/>
          <w:szCs w:val="28"/>
          <w:lang w:eastAsia="zh-CN"/>
        </w:rPr>
        <w:t>。</w:t>
      </w:r>
    </w:p>
    <w:p w14:paraId="3061188C">
      <w:pPr>
        <w:keepNext w:val="0"/>
        <w:keepLines w:val="0"/>
        <w:pageBreakBefore w:val="0"/>
        <w:kinsoku/>
        <w:wordWrap/>
        <w:overflowPunct/>
        <w:topLinePunct w:val="0"/>
        <w:autoSpaceDE/>
        <w:autoSpaceDN/>
        <w:bidi w:val="0"/>
        <w:adjustRightInd/>
        <w:spacing w:line="560" w:lineRule="exact"/>
        <w:ind w:firstLine="440" w:firstLineChars="200"/>
        <w:textAlignment w:val="auto"/>
        <w:rPr>
          <w:rFonts w:hint="eastAsia"/>
          <w:color w:val="auto"/>
          <w:sz w:val="22"/>
          <w:szCs w:val="28"/>
          <w:lang w:val="en-US" w:eastAsia="zh-CN"/>
        </w:rPr>
      </w:pPr>
      <w:r>
        <w:rPr>
          <w:rFonts w:hint="eastAsia" w:ascii="宋体" w:hAnsi="宋体" w:cs="宋体"/>
          <w:color w:val="auto"/>
          <w:kern w:val="0"/>
          <w:sz w:val="22"/>
          <w:szCs w:val="22"/>
          <w:lang w:val="en-US" w:eastAsia="zh-CN"/>
        </w:rPr>
        <w:t xml:space="preserve">5.7 </w:t>
      </w:r>
      <w:r>
        <w:rPr>
          <w:rFonts w:hint="eastAsia"/>
          <w:color w:val="auto"/>
          <w:sz w:val="22"/>
          <w:szCs w:val="28"/>
          <w:lang w:val="en-US" w:eastAsia="zh-CN"/>
        </w:rPr>
        <w:t>如合作方不能满足上述考核要求，征集有权解除合约，扣除保证金，由此产生的一切损失由合作方自行承担。</w:t>
      </w:r>
    </w:p>
    <w:p w14:paraId="0168A3C4">
      <w:pPr>
        <w:keepNext w:val="0"/>
        <w:keepLines w:val="0"/>
        <w:pageBreakBefore w:val="0"/>
        <w:kinsoku/>
        <w:wordWrap/>
        <w:overflowPunct/>
        <w:topLinePunct w:val="0"/>
        <w:autoSpaceDE/>
        <w:autoSpaceDN/>
        <w:bidi w:val="0"/>
        <w:adjustRightInd/>
        <w:spacing w:line="560" w:lineRule="exact"/>
        <w:ind w:firstLine="442" w:firstLineChars="200"/>
        <w:textAlignment w:val="auto"/>
        <w:rPr>
          <w:rFonts w:hint="eastAsia"/>
          <w:b/>
          <w:bCs/>
          <w:color w:val="auto"/>
          <w:sz w:val="22"/>
          <w:szCs w:val="28"/>
          <w:lang w:val="en-US" w:eastAsia="zh-CN"/>
        </w:rPr>
      </w:pPr>
      <w:r>
        <w:rPr>
          <w:rFonts w:hint="eastAsia"/>
          <w:b/>
          <w:bCs/>
          <w:color w:val="auto"/>
          <w:sz w:val="22"/>
          <w:szCs w:val="28"/>
          <w:lang w:val="en-US" w:eastAsia="zh-CN"/>
        </w:rPr>
        <w:t>6.关于退出机制：</w:t>
      </w:r>
    </w:p>
    <w:p w14:paraId="2D0F3735">
      <w:pPr>
        <w:keepNext w:val="0"/>
        <w:keepLines w:val="0"/>
        <w:pageBreakBefore w:val="0"/>
        <w:kinsoku/>
        <w:wordWrap/>
        <w:overflowPunct/>
        <w:topLinePunct w:val="0"/>
        <w:autoSpaceDE/>
        <w:autoSpaceDN/>
        <w:bidi w:val="0"/>
        <w:adjustRightInd/>
        <w:spacing w:line="560" w:lineRule="exact"/>
        <w:ind w:firstLine="440" w:firstLineChars="200"/>
        <w:textAlignment w:val="auto"/>
        <w:rPr>
          <w:rFonts w:hint="default"/>
          <w:color w:val="auto"/>
          <w:sz w:val="22"/>
          <w:szCs w:val="28"/>
          <w:lang w:val="en-US" w:eastAsia="zh-CN"/>
        </w:rPr>
      </w:pPr>
      <w:r>
        <w:rPr>
          <w:rFonts w:hint="default"/>
          <w:color w:val="auto"/>
          <w:sz w:val="22"/>
          <w:szCs w:val="28"/>
          <w:lang w:val="en-US" w:eastAsia="zh-CN"/>
        </w:rPr>
        <w:t>6.1 前三年不允许合作方退出，第四年起若合作方后期经营过程中确因政策性因素或其他不可抗力导致无法继续经营的，可向</w:t>
      </w:r>
      <w:r>
        <w:rPr>
          <w:rFonts w:hint="eastAsia"/>
          <w:color w:val="auto"/>
          <w:sz w:val="22"/>
          <w:szCs w:val="28"/>
          <w:lang w:val="en-US" w:eastAsia="zh-CN"/>
        </w:rPr>
        <w:t>征集</w:t>
      </w:r>
      <w:r>
        <w:rPr>
          <w:rFonts w:hint="default"/>
          <w:color w:val="auto"/>
          <w:sz w:val="22"/>
          <w:szCs w:val="28"/>
          <w:lang w:val="en-US" w:eastAsia="zh-CN"/>
        </w:rPr>
        <w:t>方出具相应的书面材料，经</w:t>
      </w:r>
      <w:r>
        <w:rPr>
          <w:rFonts w:hint="eastAsia"/>
          <w:color w:val="auto"/>
          <w:sz w:val="22"/>
          <w:szCs w:val="28"/>
          <w:lang w:val="en-US" w:eastAsia="zh-CN"/>
        </w:rPr>
        <w:t>征集</w:t>
      </w:r>
      <w:r>
        <w:rPr>
          <w:rFonts w:hint="default"/>
          <w:color w:val="auto"/>
          <w:sz w:val="22"/>
          <w:szCs w:val="28"/>
          <w:lang w:val="en-US" w:eastAsia="zh-CN"/>
        </w:rPr>
        <w:t>方认可后，双方友好协商终止合约的相关事项。</w:t>
      </w:r>
    </w:p>
    <w:p w14:paraId="0792560C">
      <w:pPr>
        <w:keepNext w:val="0"/>
        <w:keepLines w:val="0"/>
        <w:pageBreakBefore w:val="0"/>
        <w:kinsoku/>
        <w:wordWrap/>
        <w:overflowPunct/>
        <w:topLinePunct w:val="0"/>
        <w:autoSpaceDE/>
        <w:autoSpaceDN/>
        <w:bidi w:val="0"/>
        <w:adjustRightInd/>
        <w:spacing w:line="560" w:lineRule="exact"/>
        <w:ind w:firstLine="440" w:firstLineChars="200"/>
        <w:textAlignment w:val="auto"/>
        <w:rPr>
          <w:rFonts w:hint="default"/>
          <w:color w:val="auto"/>
          <w:sz w:val="22"/>
          <w:szCs w:val="28"/>
          <w:lang w:val="en-US" w:eastAsia="zh-CN"/>
        </w:rPr>
      </w:pPr>
      <w:r>
        <w:rPr>
          <w:rFonts w:hint="default"/>
          <w:color w:val="auto"/>
          <w:sz w:val="22"/>
          <w:szCs w:val="28"/>
          <w:lang w:val="en-US" w:eastAsia="zh-CN"/>
        </w:rPr>
        <w:t xml:space="preserve">6.2 </w:t>
      </w:r>
      <w:r>
        <w:rPr>
          <w:rFonts w:hint="eastAsia"/>
          <w:color w:val="auto"/>
          <w:sz w:val="22"/>
          <w:szCs w:val="28"/>
          <w:lang w:val="en-US" w:eastAsia="zh-CN"/>
        </w:rPr>
        <w:t>征集</w:t>
      </w:r>
      <w:r>
        <w:rPr>
          <w:rFonts w:hint="default"/>
          <w:color w:val="auto"/>
          <w:sz w:val="22"/>
          <w:szCs w:val="28"/>
          <w:lang w:val="en-US" w:eastAsia="zh-CN"/>
        </w:rPr>
        <w:t>方每季度将对合作方的经营状况、服务质量等进行考核并有权提出整改要求，合作方拒不整改的，</w:t>
      </w:r>
      <w:r>
        <w:rPr>
          <w:rFonts w:hint="eastAsia"/>
          <w:color w:val="auto"/>
          <w:sz w:val="22"/>
          <w:szCs w:val="28"/>
          <w:lang w:val="en-US" w:eastAsia="zh-CN"/>
        </w:rPr>
        <w:t>征集</w:t>
      </w:r>
      <w:r>
        <w:rPr>
          <w:rFonts w:hint="default"/>
          <w:color w:val="auto"/>
          <w:sz w:val="22"/>
          <w:szCs w:val="28"/>
          <w:lang w:val="en-US" w:eastAsia="zh-CN"/>
        </w:rPr>
        <w:t>方有权终止合作协议，相应责任及损失由合作方自行承担。</w:t>
      </w:r>
    </w:p>
    <w:p w14:paraId="7BF54375">
      <w:pPr>
        <w:keepNext w:val="0"/>
        <w:keepLines w:val="0"/>
        <w:pageBreakBefore w:val="0"/>
        <w:kinsoku/>
        <w:wordWrap/>
        <w:overflowPunct/>
        <w:topLinePunct w:val="0"/>
        <w:autoSpaceDE/>
        <w:autoSpaceDN/>
        <w:bidi w:val="0"/>
        <w:adjustRightInd/>
        <w:spacing w:line="560" w:lineRule="exact"/>
        <w:ind w:firstLine="440" w:firstLineChars="200"/>
        <w:textAlignment w:val="auto"/>
        <w:rPr>
          <w:rFonts w:hint="default"/>
          <w:color w:val="auto"/>
          <w:sz w:val="22"/>
          <w:szCs w:val="28"/>
          <w:lang w:val="en-US" w:eastAsia="zh-CN"/>
        </w:rPr>
      </w:pPr>
      <w:r>
        <w:rPr>
          <w:rFonts w:hint="default"/>
          <w:color w:val="auto"/>
          <w:sz w:val="22"/>
          <w:szCs w:val="28"/>
          <w:lang w:val="en-US" w:eastAsia="zh-CN"/>
        </w:rPr>
        <w:t>6.3 因合作方前期装修投入已冲抵房租，故合作方无论以任何形式中途或合作期满退出时，除可自行处置前期投入的可移动部分的装饰装修及设施设备，其余部分不得向产权方提出任何补偿要求。</w:t>
      </w:r>
    </w:p>
    <w:bookmarkEnd w:id="0"/>
    <w:bookmarkEnd w:id="1"/>
    <w:bookmarkEnd w:id="2"/>
    <w:bookmarkEnd w:id="3"/>
    <w:p w14:paraId="005BDFAF">
      <w:pPr>
        <w:keepNext w:val="0"/>
        <w:keepLines w:val="0"/>
        <w:pageBreakBefore w:val="0"/>
        <w:widowControl/>
        <w:kinsoku/>
        <w:wordWrap/>
        <w:overflowPunct/>
        <w:topLinePunct w:val="0"/>
        <w:autoSpaceDE/>
        <w:autoSpaceDN/>
        <w:bidi w:val="0"/>
        <w:adjustRightInd/>
        <w:snapToGrid w:val="0"/>
        <w:spacing w:before="120" w:line="560" w:lineRule="exact"/>
        <w:ind w:firstLine="482"/>
        <w:jc w:val="left"/>
        <w:textAlignment w:val="auto"/>
        <w:rPr>
          <w:rFonts w:hint="default" w:ascii="宋体" w:hAnsi="宋体" w:cs="宋体"/>
          <w:bCs/>
          <w:color w:val="auto"/>
          <w:kern w:val="0"/>
          <w:sz w:val="22"/>
          <w:szCs w:val="22"/>
          <w:lang w:val="en-US" w:eastAsia="zh-CN"/>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汉仪力量黑简">
    <w:panose1 w:val="00020600040101010101"/>
    <w:charset w:val="86"/>
    <w:family w:val="auto"/>
    <w:pitch w:val="default"/>
    <w:sig w:usb0="A00002BF" w:usb1="18EF7CFA" w:usb2="00000016" w:usb3="00000000" w:csb0="00040000" w:csb1="00000000"/>
  </w:font>
  <w:font w:name="方正小标宋_GBK">
    <w:panose1 w:val="02000000000000000000"/>
    <w:charset w:val="86"/>
    <w:family w:val="auto"/>
    <w:pitch w:val="default"/>
    <w:sig w:usb0="A00002BF" w:usb1="38CF7CFA" w:usb2="00082016" w:usb3="00000000" w:csb0="00040001" w:csb1="00000000"/>
    <w:embedRegular r:id="rId1" w:fontKey="{F95069E7-0667-449D-81D3-7E13A723422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367763">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41309C2">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w:t>
                          </w:r>
                          <w:r>
                            <w:fldChar w:fldCharType="end"/>
                          </w:r>
                          <w:r>
                            <w:t xml:space="preserve"> 页</w:t>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pci88sBAACcAwAADgAAAGRycy9lMm9Eb2MueG1srVPNjtMwEL4j8Q6W&#10;79RpJ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rFTaDEcYsDv3z/dvnx6/LzK1lW&#10;q9dZoT5AjYkPAVPTcOeHnD35AZ2Z+KCizV+kRDCO+p6v+sohEZEfrVfrdYUhgbH5gjjs8XmIkN5K&#10;b0k2GhpxgEVXfnoPaUydU3I15++1MejntXF/ORAze1jufewxW2nYD1Pje9+ekU+Ps2+ow1WnxLxz&#10;KG1ek9mIs7GfjWOI+tCVPcr1INweEzZRessVRtipMA6tsJsWLG/Fn/eS9fhT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qXIvPLAQAAnAMAAA4AAAAAAAAAAQAgAAAAHgEAAGRycy9lMm9E&#10;b2MueG1sUEsFBgAAAAAGAAYAWQEAAFsFAAAAAA==&#10;">
              <v:fill on="f" focussize="0,0"/>
              <v:stroke on="f"/>
              <v:imagedata o:title=""/>
              <o:lock v:ext="edit" aspectratio="f"/>
              <v:textbox inset="0mm,0mm,0mm,0mm" style="mso-fit-shape-to-text:t;">
                <w:txbxContent>
                  <w:p w14:paraId="041309C2">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E2MzQxZDljMWYyMTM3MTdjNjk3MjRhY2M2MTJjNWIifQ=="/>
  </w:docVars>
  <w:rsids>
    <w:rsidRoot w:val="004B4628"/>
    <w:rsid w:val="000C446F"/>
    <w:rsid w:val="000F6D50"/>
    <w:rsid w:val="001C5DB4"/>
    <w:rsid w:val="002941D7"/>
    <w:rsid w:val="004909A5"/>
    <w:rsid w:val="004B4628"/>
    <w:rsid w:val="00504B89"/>
    <w:rsid w:val="005900F4"/>
    <w:rsid w:val="005A6563"/>
    <w:rsid w:val="00616965"/>
    <w:rsid w:val="00626ADC"/>
    <w:rsid w:val="006D50F7"/>
    <w:rsid w:val="0079682B"/>
    <w:rsid w:val="007C477C"/>
    <w:rsid w:val="007E04AA"/>
    <w:rsid w:val="0083668F"/>
    <w:rsid w:val="008518E6"/>
    <w:rsid w:val="00886DDE"/>
    <w:rsid w:val="008B5FF6"/>
    <w:rsid w:val="00906683"/>
    <w:rsid w:val="00906796"/>
    <w:rsid w:val="00A219A1"/>
    <w:rsid w:val="00A33A16"/>
    <w:rsid w:val="00B83229"/>
    <w:rsid w:val="00B95BE7"/>
    <w:rsid w:val="00BD50F8"/>
    <w:rsid w:val="00C51167"/>
    <w:rsid w:val="00D20B9A"/>
    <w:rsid w:val="00D248E4"/>
    <w:rsid w:val="00E34FFB"/>
    <w:rsid w:val="00E46545"/>
    <w:rsid w:val="00EF1624"/>
    <w:rsid w:val="00F40E00"/>
    <w:rsid w:val="00F440BA"/>
    <w:rsid w:val="05417FCC"/>
    <w:rsid w:val="0708176C"/>
    <w:rsid w:val="07D653C6"/>
    <w:rsid w:val="07FE5563"/>
    <w:rsid w:val="0B531AE8"/>
    <w:rsid w:val="0B5A3426"/>
    <w:rsid w:val="0E7F6247"/>
    <w:rsid w:val="0FEB4D5C"/>
    <w:rsid w:val="138F6FC4"/>
    <w:rsid w:val="14E76398"/>
    <w:rsid w:val="17117C9E"/>
    <w:rsid w:val="173C2D6C"/>
    <w:rsid w:val="1B802716"/>
    <w:rsid w:val="1C0512BF"/>
    <w:rsid w:val="1CBF2475"/>
    <w:rsid w:val="20373E6F"/>
    <w:rsid w:val="21C6490E"/>
    <w:rsid w:val="22F02082"/>
    <w:rsid w:val="2684028C"/>
    <w:rsid w:val="26FB3D0A"/>
    <w:rsid w:val="290125FA"/>
    <w:rsid w:val="295D47F5"/>
    <w:rsid w:val="2B110340"/>
    <w:rsid w:val="2D907955"/>
    <w:rsid w:val="2F3D05AC"/>
    <w:rsid w:val="314405E7"/>
    <w:rsid w:val="3162182C"/>
    <w:rsid w:val="327619D7"/>
    <w:rsid w:val="34905EF8"/>
    <w:rsid w:val="35F0712B"/>
    <w:rsid w:val="360E1887"/>
    <w:rsid w:val="380F0D7B"/>
    <w:rsid w:val="38C75956"/>
    <w:rsid w:val="38C94A3B"/>
    <w:rsid w:val="393A488D"/>
    <w:rsid w:val="394D2294"/>
    <w:rsid w:val="3B363F8D"/>
    <w:rsid w:val="3E636F3B"/>
    <w:rsid w:val="3E912D31"/>
    <w:rsid w:val="40C56314"/>
    <w:rsid w:val="419E624E"/>
    <w:rsid w:val="41A53458"/>
    <w:rsid w:val="42416BD6"/>
    <w:rsid w:val="460E5C36"/>
    <w:rsid w:val="474D2823"/>
    <w:rsid w:val="47755BA9"/>
    <w:rsid w:val="4B643743"/>
    <w:rsid w:val="4D4F1685"/>
    <w:rsid w:val="518B65C0"/>
    <w:rsid w:val="536B7F45"/>
    <w:rsid w:val="5441050A"/>
    <w:rsid w:val="56477479"/>
    <w:rsid w:val="5AA827B6"/>
    <w:rsid w:val="5D176949"/>
    <w:rsid w:val="5D362E7F"/>
    <w:rsid w:val="5D697130"/>
    <w:rsid w:val="5F1C2834"/>
    <w:rsid w:val="68284004"/>
    <w:rsid w:val="68623A2D"/>
    <w:rsid w:val="686A30E0"/>
    <w:rsid w:val="6B823559"/>
    <w:rsid w:val="721B697B"/>
    <w:rsid w:val="757534F0"/>
    <w:rsid w:val="7A756E62"/>
    <w:rsid w:val="7D5470E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character" w:default="1" w:styleId="8">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BodyTextIndent"/>
    <w:basedOn w:val="1"/>
    <w:next w:val="1"/>
    <w:autoRedefine/>
    <w:qFormat/>
    <w:uiPriority w:val="0"/>
    <w:pPr>
      <w:ind w:firstLine="645"/>
    </w:pPr>
    <w:rPr>
      <w:rFonts w:ascii="楷体_GB2312" w:eastAsia="楷体_GB2312"/>
      <w:sz w:val="32"/>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1247</Words>
  <Characters>1374</Characters>
  <Lines>17</Lines>
  <Paragraphs>4</Paragraphs>
  <TotalTime>28</TotalTime>
  <ScaleCrop>false</ScaleCrop>
  <LinksUpToDate>false</LinksUpToDate>
  <CharactersWithSpaces>1391</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2023-10-18T09:10:00Z</dcterms:created>
  <dc:creator>W</dc:creator>
  <cp:lastModifiedBy>哆啦A胖</cp:lastModifiedBy>
  <cp:lastPrinted>2024-02-21T02:42:00Z</cp:lastPrinted>
  <dcterms:modified xsi:type="dcterms:W3CDTF">2024-10-09T00:51:07Z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49A2A02121EA48D48366032D97C3927F_13</vt:lpwstr>
  </property>
</Properties>
</file>